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0C71" w14:textId="6A06D296" w:rsidR="006F2AC0" w:rsidRPr="00911D83" w:rsidRDefault="006F2AC0" w:rsidP="00911D83">
      <w:pPr>
        <w:ind w:firstLineChars="200" w:firstLine="643"/>
        <w:jc w:val="center"/>
        <w:rPr>
          <w:rFonts w:eastAsia="宋体"/>
          <w:b/>
          <w:bCs/>
          <w:sz w:val="32"/>
          <w:szCs w:val="32"/>
        </w:rPr>
      </w:pPr>
      <w:bookmarkStart w:id="0" w:name="_Hlk76129630"/>
      <w:r w:rsidRPr="00911D83">
        <w:rPr>
          <w:rFonts w:eastAsia="宋体" w:hint="eastAsia"/>
          <w:b/>
          <w:bCs/>
          <w:sz w:val="32"/>
          <w:szCs w:val="32"/>
        </w:rPr>
        <w:t>老年综合征及健康促进管理系统</w:t>
      </w:r>
    </w:p>
    <w:bookmarkEnd w:id="0"/>
    <w:p w14:paraId="0CFC7E67" w14:textId="7F21A5AD" w:rsidR="004C3B8E" w:rsidRDefault="006F2AC0">
      <w:pPr>
        <w:spacing w:line="480" w:lineRule="exact"/>
        <w:ind w:firstLineChars="200" w:firstLine="480"/>
        <w:contextualSpacing/>
        <w:jc w:val="left"/>
        <w:rPr>
          <w:rFonts w:eastAsia="宋体"/>
          <w:sz w:val="24"/>
        </w:rPr>
      </w:pPr>
      <w:r>
        <w:rPr>
          <w:rFonts w:eastAsia="宋体" w:hint="eastAsia"/>
          <w:sz w:val="24"/>
        </w:rPr>
        <w:t xml:space="preserve"> </w:t>
      </w:r>
      <w:bookmarkStart w:id="1" w:name="_Hlk76129603"/>
      <w:r w:rsidR="00254F2A">
        <w:rPr>
          <w:rFonts w:eastAsia="宋体" w:hint="eastAsia"/>
          <w:sz w:val="24"/>
        </w:rPr>
        <w:t>云南省已进入老龄化地区，</w:t>
      </w:r>
      <w:r w:rsidR="00254F2A">
        <w:rPr>
          <w:rFonts w:eastAsia="宋体" w:hint="eastAsia"/>
          <w:sz w:val="24"/>
        </w:rPr>
        <w:t xml:space="preserve"> 2018</w:t>
      </w:r>
      <w:r w:rsidR="00254F2A">
        <w:rPr>
          <w:rFonts w:eastAsia="宋体" w:hint="eastAsia"/>
          <w:sz w:val="24"/>
        </w:rPr>
        <w:t>年统计显示云南人口的平均寿命仅为</w:t>
      </w:r>
      <w:r w:rsidR="00254F2A">
        <w:rPr>
          <w:rFonts w:eastAsia="宋体" w:hint="eastAsia"/>
          <w:sz w:val="24"/>
        </w:rPr>
        <w:t>69.54</w:t>
      </w:r>
      <w:r w:rsidR="00254F2A">
        <w:rPr>
          <w:rFonts w:eastAsia="宋体" w:hint="eastAsia"/>
          <w:sz w:val="24"/>
        </w:rPr>
        <w:t>岁，居全国倒数第二；云南大部分地区为山地高原交通不便，少数民族众多、老年健康需求大；老年人多病共存，易发生多脏器功能衰竭；老年衰老性疾病如帕金森、痴呆、动脉粥样硬化性疾病所致的老年问题——老年综合征（</w:t>
      </w:r>
      <w:r w:rsidR="00254F2A">
        <w:rPr>
          <w:rFonts w:eastAsia="宋体" w:hint="eastAsia"/>
          <w:sz w:val="24"/>
        </w:rPr>
        <w:t>GS</w:t>
      </w:r>
      <w:r w:rsidR="00254F2A">
        <w:rPr>
          <w:rFonts w:eastAsia="宋体" w:hint="eastAsia"/>
          <w:sz w:val="24"/>
        </w:rPr>
        <w:t>）如营养不良、吞咽障碍、认知障碍、跌倒等常与疾病重叠出现，而被专科医生忽视。这些老年人中常见的功能障碍与疾病伴行时多导致老年患者住院时间延长、重复住院率高、病死率高、家庭及社会负担重的现状，导致老年人群不良事件频繁发生，失能、病死率增高。老年综合征存在老年人各个时期，老年综合评估筛查老年综合征，多学科团队干预，制订干预意见，形成健康档案，促进老年人健康老化。</w:t>
      </w:r>
    </w:p>
    <w:bookmarkEnd w:id="1"/>
    <w:p w14:paraId="4D89EEF7" w14:textId="4F2AE8F7" w:rsidR="004C3B8E" w:rsidRDefault="00254F2A">
      <w:pPr>
        <w:spacing w:line="480" w:lineRule="exact"/>
        <w:ind w:firstLineChars="200" w:firstLine="480"/>
        <w:contextualSpacing/>
        <w:jc w:val="left"/>
        <w:rPr>
          <w:rFonts w:eastAsia="宋体"/>
          <w:sz w:val="24"/>
        </w:rPr>
      </w:pPr>
      <w:r>
        <w:rPr>
          <w:rFonts w:eastAsia="宋体" w:hint="eastAsia"/>
          <w:sz w:val="24"/>
        </w:rPr>
        <w:t>目前搭建完成的老年综合评估网络平台已于</w:t>
      </w:r>
      <w:r>
        <w:rPr>
          <w:rFonts w:eastAsia="宋体" w:hint="eastAsia"/>
          <w:sz w:val="24"/>
        </w:rPr>
        <w:t>2019</w:t>
      </w:r>
      <w:r>
        <w:rPr>
          <w:rFonts w:eastAsia="宋体" w:hint="eastAsia"/>
          <w:sz w:val="24"/>
        </w:rPr>
        <w:t>年</w:t>
      </w:r>
      <w:r>
        <w:rPr>
          <w:rFonts w:eastAsia="宋体" w:hint="eastAsia"/>
          <w:sz w:val="24"/>
        </w:rPr>
        <w:t>11</w:t>
      </w:r>
      <w:r>
        <w:rPr>
          <w:rFonts w:eastAsia="宋体" w:hint="eastAsia"/>
          <w:sz w:val="24"/>
        </w:rPr>
        <w:t>月免费向全省</w:t>
      </w:r>
      <w:r>
        <w:rPr>
          <w:rFonts w:eastAsia="宋体" w:hint="eastAsia"/>
          <w:sz w:val="24"/>
        </w:rPr>
        <w:t>16</w:t>
      </w:r>
      <w:r>
        <w:rPr>
          <w:rFonts w:eastAsia="宋体" w:hint="eastAsia"/>
          <w:sz w:val="24"/>
        </w:rPr>
        <w:t>个州市</w:t>
      </w:r>
      <w:r>
        <w:rPr>
          <w:rFonts w:eastAsia="宋体" w:hint="eastAsia"/>
          <w:sz w:val="24"/>
        </w:rPr>
        <w:t>65</w:t>
      </w:r>
      <w:r>
        <w:rPr>
          <w:rFonts w:eastAsia="宋体" w:hint="eastAsia"/>
          <w:sz w:val="24"/>
        </w:rPr>
        <w:t>家医院推广应用，全省各级老年专科单位使用平台系列软件进行了超过</w:t>
      </w:r>
      <w:r>
        <w:rPr>
          <w:rFonts w:eastAsia="宋体" w:hint="eastAsia"/>
          <w:sz w:val="24"/>
        </w:rPr>
        <w:t>4000</w:t>
      </w:r>
      <w:r>
        <w:rPr>
          <w:rFonts w:eastAsia="宋体" w:hint="eastAsia"/>
          <w:sz w:val="24"/>
        </w:rPr>
        <w:t>例老年患者健康评估。</w:t>
      </w:r>
      <w:r>
        <w:rPr>
          <w:rFonts w:eastAsia="宋体" w:hint="eastAsia"/>
          <w:b/>
          <w:bCs/>
          <w:sz w:val="24"/>
        </w:rPr>
        <w:t>但老年综合征的有效筛查、后续干预均需要相应软件支持、技术储备及维护、以及人员培训</w:t>
      </w:r>
      <w:r>
        <w:rPr>
          <w:rFonts w:eastAsia="宋体" w:hint="eastAsia"/>
          <w:sz w:val="24"/>
        </w:rPr>
        <w:t>。仅有评估工具还不能为老年患者提供实际有效的老年综合征管理手段，因此</w:t>
      </w:r>
      <w:bookmarkStart w:id="2" w:name="_Hlk76129679"/>
      <w:r>
        <w:rPr>
          <w:rFonts w:eastAsia="宋体" w:hint="eastAsia"/>
          <w:b/>
          <w:bCs/>
          <w:sz w:val="24"/>
        </w:rPr>
        <w:t>1</w:t>
      </w:r>
      <w:r>
        <w:rPr>
          <w:rFonts w:eastAsia="宋体" w:hint="eastAsia"/>
          <w:b/>
          <w:bCs/>
          <w:sz w:val="24"/>
        </w:rPr>
        <w:t>、搭建老年共病多学科诊疗平台</w:t>
      </w:r>
      <w:r>
        <w:rPr>
          <w:rFonts w:eastAsia="宋体" w:hint="eastAsia"/>
          <w:sz w:val="24"/>
        </w:rPr>
        <w:t>，协助老年综合评估后续管理才是老年专科三大核心技术的完整体现；同时结合我省经济欠发达的现状，老少边穷地区老年人群健康意识不足、多病共存且控制不达标、疾病进展迅速、危急重症多见，但医疗条件有限，亟需针对老年患者疑难危重症远程指导手段，协助当地医院诊治患者，因此</w:t>
      </w:r>
      <w:r>
        <w:rPr>
          <w:rFonts w:eastAsia="宋体" w:hint="eastAsia"/>
          <w:b/>
          <w:bCs/>
          <w:sz w:val="24"/>
        </w:rPr>
        <w:t>2</w:t>
      </w:r>
      <w:r>
        <w:rPr>
          <w:rFonts w:eastAsia="宋体" w:hint="eastAsia"/>
          <w:b/>
          <w:bCs/>
          <w:sz w:val="24"/>
        </w:rPr>
        <w:t>、搭建疑难危重症会诊平台</w:t>
      </w:r>
      <w:r>
        <w:rPr>
          <w:rFonts w:eastAsia="宋体" w:hint="eastAsia"/>
          <w:sz w:val="24"/>
        </w:rPr>
        <w:t>将有助于改善不同我省各地区老年医学诊疗水平差异较大的问题，能更好的提升我省老年疑难危重症处理的水平；当然，硬件条件的搭建更需要专业人才的培养才能发挥最大的作用，考虑到乡镇一级医院多为全科医师接诊患者，有关老年健康管理的理论水平及技术需要不断提升才能更好的为当地老年人群提供服务，同时也需要帮助我省老年人群建立自我健康管理的意识，因此</w:t>
      </w:r>
      <w:r>
        <w:rPr>
          <w:rFonts w:eastAsia="宋体" w:hint="eastAsia"/>
          <w:b/>
          <w:bCs/>
          <w:sz w:val="24"/>
        </w:rPr>
        <w:t>3</w:t>
      </w:r>
      <w:r>
        <w:rPr>
          <w:rFonts w:eastAsia="宋体" w:hint="eastAsia"/>
          <w:b/>
          <w:bCs/>
          <w:sz w:val="24"/>
        </w:rPr>
        <w:t>、搭建老年疾病管理教育平台</w:t>
      </w:r>
      <w:r>
        <w:rPr>
          <w:rFonts w:eastAsia="宋体" w:hint="eastAsia"/>
          <w:sz w:val="24"/>
        </w:rPr>
        <w:t>不仅能提升医务工作者的技术水平，也能方便全省老年人群获得同质化健康宣教，有助于提升我省老年人群的整体健康意识。</w:t>
      </w:r>
    </w:p>
    <w:bookmarkEnd w:id="2"/>
    <w:p w14:paraId="3FA15762" w14:textId="77777777" w:rsidR="004C3B8E" w:rsidRDefault="00254F2A">
      <w:pPr>
        <w:jc w:val="left"/>
        <w:rPr>
          <w:b/>
          <w:bCs/>
          <w:sz w:val="28"/>
          <w:szCs w:val="28"/>
        </w:rPr>
      </w:pPr>
      <w:r>
        <w:rPr>
          <w:rFonts w:hint="eastAsia"/>
          <w:b/>
          <w:bCs/>
          <w:sz w:val="28"/>
          <w:szCs w:val="28"/>
        </w:rPr>
        <w:lastRenderedPageBreak/>
        <w:t>一、平台系统构建：</w:t>
      </w:r>
    </w:p>
    <w:p w14:paraId="2BA2171B" w14:textId="77777777" w:rsidR="004C3B8E" w:rsidRDefault="00254F2A">
      <w:pPr>
        <w:numPr>
          <w:ilvl w:val="0"/>
          <w:numId w:val="1"/>
        </w:numPr>
        <w:jc w:val="left"/>
        <w:rPr>
          <w:b/>
          <w:bCs/>
          <w:sz w:val="28"/>
          <w:szCs w:val="28"/>
        </w:rPr>
      </w:pPr>
      <w:r>
        <w:rPr>
          <w:rFonts w:hint="eastAsia"/>
          <w:b/>
          <w:bCs/>
          <w:sz w:val="28"/>
          <w:szCs w:val="28"/>
        </w:rPr>
        <w:t>老年共病多学科诊疗平台</w:t>
      </w:r>
    </w:p>
    <w:p w14:paraId="045D2BBF" w14:textId="77777777" w:rsidR="004C3B8E" w:rsidRDefault="00254F2A">
      <w:pPr>
        <w:spacing w:line="480" w:lineRule="exact"/>
        <w:contextualSpacing/>
        <w:jc w:val="left"/>
        <w:rPr>
          <w:rFonts w:eastAsia="宋体"/>
          <w:b/>
          <w:bCs/>
          <w:sz w:val="24"/>
        </w:rPr>
      </w:pPr>
      <w:r>
        <w:rPr>
          <w:rFonts w:eastAsia="宋体" w:hint="eastAsia"/>
          <w:b/>
          <w:bCs/>
          <w:sz w:val="24"/>
        </w:rPr>
        <w:t>（</w:t>
      </w:r>
      <w:r>
        <w:rPr>
          <w:rFonts w:eastAsia="宋体" w:hint="eastAsia"/>
          <w:b/>
          <w:bCs/>
          <w:sz w:val="24"/>
        </w:rPr>
        <w:t>1</w:t>
      </w:r>
      <w:r>
        <w:rPr>
          <w:rFonts w:eastAsia="宋体" w:hint="eastAsia"/>
          <w:b/>
          <w:bCs/>
          <w:sz w:val="24"/>
        </w:rPr>
        <w:t>）多学科团队会诊建议：</w:t>
      </w:r>
    </w:p>
    <w:p w14:paraId="0563F610" w14:textId="77777777" w:rsidR="004C3B8E" w:rsidRDefault="00254F2A">
      <w:pPr>
        <w:spacing w:line="480" w:lineRule="exact"/>
        <w:ind w:firstLineChars="200" w:firstLine="480"/>
        <w:contextualSpacing/>
        <w:jc w:val="left"/>
        <w:rPr>
          <w:rFonts w:eastAsia="宋体"/>
          <w:sz w:val="24"/>
        </w:rPr>
      </w:pPr>
      <w:r>
        <w:rPr>
          <w:rFonts w:eastAsia="宋体" w:hint="eastAsia"/>
          <w:sz w:val="24"/>
        </w:rPr>
        <w:t>完善老年综合评估后得出患者功能受损情况，根据不同功能受损程度提出个性化干预措施，老年各亚专科、临床营养科、临床药学科、康复理疗、老年心理、老年专科护理团队在老年专科医师的主导下对不同功能障碍程度，提出不同干预建议。由专人整理多学科会诊建议，形成初步干预策略库，并通过随访、延续性护理、不良事件发生率、住院时间、医疗花费等方式验证干预措施的有效性。</w:t>
      </w:r>
    </w:p>
    <w:p w14:paraId="66E375B6" w14:textId="77777777" w:rsidR="004C3B8E" w:rsidRDefault="00254F2A">
      <w:pPr>
        <w:spacing w:line="480" w:lineRule="exact"/>
        <w:contextualSpacing/>
        <w:jc w:val="left"/>
        <w:rPr>
          <w:rFonts w:eastAsia="宋体"/>
          <w:b/>
          <w:bCs/>
          <w:sz w:val="24"/>
        </w:rPr>
      </w:pPr>
      <w:r>
        <w:rPr>
          <w:rFonts w:eastAsia="宋体" w:hint="eastAsia"/>
          <w:b/>
          <w:bCs/>
          <w:sz w:val="24"/>
        </w:rPr>
        <w:t>（</w:t>
      </w:r>
      <w:r>
        <w:rPr>
          <w:rFonts w:eastAsia="宋体" w:hint="eastAsia"/>
          <w:b/>
          <w:bCs/>
          <w:sz w:val="24"/>
        </w:rPr>
        <w:t>2</w:t>
      </w:r>
      <w:r>
        <w:rPr>
          <w:rFonts w:eastAsia="宋体" w:hint="eastAsia"/>
          <w:b/>
          <w:bCs/>
          <w:sz w:val="24"/>
        </w:rPr>
        <w:t>）信息团队建模处理不同功能受损程度对应下的干预建议：</w:t>
      </w:r>
    </w:p>
    <w:p w14:paraId="3F27C645" w14:textId="77777777" w:rsidR="004C3B8E" w:rsidRDefault="00254F2A">
      <w:pPr>
        <w:spacing w:line="480" w:lineRule="exact"/>
        <w:ind w:firstLineChars="200" w:firstLine="480"/>
        <w:contextualSpacing/>
        <w:jc w:val="left"/>
        <w:rPr>
          <w:rFonts w:eastAsia="宋体"/>
          <w:b/>
          <w:bCs/>
          <w:sz w:val="24"/>
        </w:rPr>
      </w:pPr>
      <w:r>
        <w:rPr>
          <w:rFonts w:eastAsia="宋体" w:hint="eastAsia"/>
          <w:sz w:val="24"/>
        </w:rPr>
        <w:t>由于老年患者的个体化差异、共病状态差异以及功能受损差异等，要形成个性化干预策略需要不断增加干预建议与躯体疾病、功能受损程度、用药、营养、护理等方案的联系，通过收集整理有效干预建议的相关数据信息中探索稳定联系，并在并将各种干预建议在不断完善和数据对应下形成</w:t>
      </w:r>
      <w:r>
        <w:rPr>
          <w:rFonts w:eastAsia="宋体" w:hint="eastAsia"/>
          <w:b/>
          <w:bCs/>
          <w:sz w:val="24"/>
        </w:rPr>
        <w:t>标准化干预策略库</w:t>
      </w:r>
      <w:r>
        <w:rPr>
          <w:rFonts w:eastAsia="宋体" w:hint="eastAsia"/>
          <w:sz w:val="24"/>
        </w:rPr>
        <w:t>，同样由随访、延续性护理、不良事件发生率、住院时间、医疗花费等方式验证干预措施的有效性。</w:t>
      </w:r>
    </w:p>
    <w:p w14:paraId="73EE2845" w14:textId="77777777" w:rsidR="004C3B8E" w:rsidRDefault="00254F2A">
      <w:pPr>
        <w:spacing w:line="480" w:lineRule="exact"/>
        <w:contextualSpacing/>
        <w:jc w:val="left"/>
        <w:rPr>
          <w:rFonts w:eastAsia="宋体"/>
          <w:b/>
          <w:bCs/>
          <w:sz w:val="24"/>
        </w:rPr>
      </w:pPr>
      <w:r>
        <w:rPr>
          <w:rFonts w:eastAsia="宋体" w:hint="eastAsia"/>
          <w:b/>
          <w:bCs/>
          <w:sz w:val="24"/>
        </w:rPr>
        <w:t>（</w:t>
      </w:r>
      <w:r>
        <w:rPr>
          <w:rFonts w:eastAsia="宋体" w:hint="eastAsia"/>
          <w:b/>
          <w:bCs/>
          <w:sz w:val="24"/>
        </w:rPr>
        <w:t>3</w:t>
      </w:r>
      <w:r>
        <w:rPr>
          <w:rFonts w:eastAsia="宋体" w:hint="eastAsia"/>
          <w:b/>
          <w:bCs/>
          <w:sz w:val="24"/>
        </w:rPr>
        <w:t>）标准化干预体系的智能推送：</w:t>
      </w:r>
    </w:p>
    <w:p w14:paraId="128BCBCA" w14:textId="77777777" w:rsidR="004C3B8E" w:rsidRDefault="00254F2A">
      <w:pPr>
        <w:spacing w:line="480" w:lineRule="exact"/>
        <w:contextualSpacing/>
        <w:jc w:val="left"/>
        <w:rPr>
          <w:rFonts w:eastAsia="宋体"/>
          <w:sz w:val="24"/>
        </w:rPr>
      </w:pPr>
      <w:r>
        <w:rPr>
          <w:rFonts w:eastAsia="宋体" w:hint="eastAsia"/>
          <w:b/>
          <w:bCs/>
          <w:sz w:val="24"/>
        </w:rPr>
        <w:t xml:space="preserve"> </w:t>
      </w:r>
      <w:r>
        <w:rPr>
          <w:rFonts w:eastAsia="宋体"/>
          <w:b/>
          <w:bCs/>
          <w:sz w:val="24"/>
        </w:rPr>
        <w:t xml:space="preserve">   </w:t>
      </w:r>
      <w:r>
        <w:rPr>
          <w:rFonts w:eastAsia="宋体" w:hint="eastAsia"/>
          <w:sz w:val="24"/>
        </w:rPr>
        <w:t>通过前期建模实现标准化干预策略库后，结合现有“老年病综合评估管理平台”升级干预策略为智能推送的个性化标准干预策略，能最大范围的将同质化多学科团队干预向所有使用软件平台的老年医学相关单位进行推广应用。实现简易版、住院版、养老院版均能使用的智慧干预策略推送，由此形成我省规模最大的同质化、标准化、网络化老年综合征智慧管理技术体系，使我省老少边穷地区的老年患者也能享有与三甲医院老年专科患者同样的专科特色诊疗。通过平台的建立，达成我院专家通过互联网对全省进行多学科诊疗。</w:t>
      </w:r>
    </w:p>
    <w:p w14:paraId="17771F5A" w14:textId="77777777" w:rsidR="004C3B8E" w:rsidRDefault="00254F2A">
      <w:pPr>
        <w:numPr>
          <w:ilvl w:val="0"/>
          <w:numId w:val="1"/>
        </w:numPr>
        <w:jc w:val="left"/>
        <w:rPr>
          <w:b/>
          <w:bCs/>
          <w:sz w:val="28"/>
          <w:szCs w:val="28"/>
        </w:rPr>
      </w:pPr>
      <w:r>
        <w:rPr>
          <w:rFonts w:hint="eastAsia"/>
          <w:b/>
          <w:bCs/>
          <w:sz w:val="28"/>
          <w:szCs w:val="28"/>
        </w:rPr>
        <w:t>老年疑难、危急重症远程会诊平台</w:t>
      </w:r>
    </w:p>
    <w:p w14:paraId="4FFA751E" w14:textId="77777777" w:rsidR="004C3B8E" w:rsidRDefault="00254F2A">
      <w:pPr>
        <w:spacing w:line="480" w:lineRule="exact"/>
        <w:ind w:firstLineChars="200" w:firstLine="480"/>
        <w:contextualSpacing/>
        <w:jc w:val="left"/>
        <w:rPr>
          <w:rFonts w:eastAsia="宋体"/>
          <w:sz w:val="24"/>
        </w:rPr>
      </w:pPr>
      <w:r>
        <w:rPr>
          <w:rFonts w:eastAsia="宋体" w:hint="eastAsia"/>
          <w:sz w:val="24"/>
        </w:rPr>
        <w:t>我省是全国经济发展较为落后的地区，由于经济条件、生活环境、周围的医疗设施的限制，使得很多共病老年患者、疑难危重症患者得不到及时诊治而造成不必要的过早失能、过早残疾、甚至死亡。云南省第一人民医院在我省有</w:t>
      </w:r>
      <w:r>
        <w:rPr>
          <w:rFonts w:eastAsia="宋体" w:hint="eastAsia"/>
          <w:sz w:val="24"/>
        </w:rPr>
        <w:lastRenderedPageBreak/>
        <w:t>215</w:t>
      </w:r>
      <w:r>
        <w:rPr>
          <w:rFonts w:eastAsia="宋体" w:hint="eastAsia"/>
          <w:sz w:val="24"/>
        </w:rPr>
        <w:t>家医联体单位，覆盖全省各州市、县及医疗卫生单位。目前本申报单位的远程会诊中心能够支持图像、音频交流，但还不能实现化验检查报告共享、影像资料实时传输的功能。针对老年专科的疑难、危重病例，除了指导诊断以外，后续躯体疾病的治疗与功能的全面维护、以及全人全程管理是老年专科标准化诊疗体系的重要部分，对提升老年疑难危重患者远程会诊作用也有重要意义。</w:t>
      </w:r>
    </w:p>
    <w:p w14:paraId="566BED4B" w14:textId="77777777" w:rsidR="004C3B8E" w:rsidRDefault="00254F2A">
      <w:pPr>
        <w:spacing w:line="480" w:lineRule="exact"/>
        <w:contextualSpacing/>
        <w:jc w:val="left"/>
        <w:rPr>
          <w:rFonts w:eastAsia="宋体"/>
          <w:b/>
          <w:bCs/>
          <w:sz w:val="24"/>
        </w:rPr>
      </w:pPr>
      <w:r>
        <w:rPr>
          <w:rFonts w:eastAsia="宋体" w:hint="eastAsia"/>
          <w:b/>
          <w:bCs/>
          <w:sz w:val="24"/>
        </w:rPr>
        <w:t>（</w:t>
      </w:r>
      <w:r>
        <w:rPr>
          <w:rFonts w:eastAsia="宋体" w:hint="eastAsia"/>
          <w:b/>
          <w:bCs/>
          <w:sz w:val="24"/>
        </w:rPr>
        <w:t>1</w:t>
      </w:r>
      <w:r>
        <w:rPr>
          <w:rFonts w:eastAsia="宋体" w:hint="eastAsia"/>
          <w:b/>
          <w:bCs/>
          <w:sz w:val="24"/>
        </w:rPr>
        <w:t>）诊治流程资源共享：</w:t>
      </w:r>
    </w:p>
    <w:p w14:paraId="057B3795" w14:textId="77777777" w:rsidR="004C3B8E" w:rsidRDefault="00254F2A">
      <w:pPr>
        <w:spacing w:line="480" w:lineRule="exact"/>
        <w:ind w:firstLineChars="200" w:firstLine="480"/>
        <w:contextualSpacing/>
        <w:jc w:val="left"/>
        <w:rPr>
          <w:rFonts w:eastAsia="宋体"/>
          <w:sz w:val="24"/>
        </w:rPr>
      </w:pPr>
      <w:r>
        <w:rPr>
          <w:rFonts w:eastAsia="宋体" w:hint="eastAsia"/>
          <w:sz w:val="24"/>
        </w:rPr>
        <w:t>为了提高远程会诊的高效性，实验室检查以及影像学检查等辅助检查资料实现实时同步，可以提升会诊过程中专家对老年患者病情的掌握。联合信息团队将电子病例系统中的相关辅助检查资料传输到会诊平台，如</w:t>
      </w:r>
      <w:r>
        <w:rPr>
          <w:rFonts w:eastAsia="宋体"/>
          <w:sz w:val="24"/>
        </w:rPr>
        <w:t>HIS</w:t>
      </w:r>
      <w:r>
        <w:rPr>
          <w:rFonts w:eastAsia="宋体" w:hint="eastAsia"/>
          <w:sz w:val="24"/>
        </w:rPr>
        <w:t>、</w:t>
      </w:r>
      <w:r>
        <w:rPr>
          <w:rFonts w:eastAsia="宋体" w:hint="eastAsia"/>
          <w:sz w:val="24"/>
        </w:rPr>
        <w:t>L</w:t>
      </w:r>
      <w:r>
        <w:rPr>
          <w:rFonts w:eastAsia="宋体"/>
          <w:sz w:val="24"/>
        </w:rPr>
        <w:t>IS</w:t>
      </w:r>
      <w:r>
        <w:rPr>
          <w:rFonts w:eastAsia="宋体" w:hint="eastAsia"/>
          <w:sz w:val="24"/>
        </w:rPr>
        <w:t>、</w:t>
      </w:r>
      <w:r>
        <w:rPr>
          <w:rFonts w:eastAsia="宋体"/>
          <w:sz w:val="24"/>
        </w:rPr>
        <w:t>PACS</w:t>
      </w:r>
      <w:r>
        <w:rPr>
          <w:rFonts w:eastAsia="宋体" w:hint="eastAsia"/>
          <w:sz w:val="24"/>
        </w:rPr>
        <w:t>端口的开发和相关数据上传，可以方便专家查阅、也能更加全面的反映患者疾病变化、发展的过程。</w:t>
      </w:r>
    </w:p>
    <w:p w14:paraId="631000BB" w14:textId="77777777" w:rsidR="004C3B8E" w:rsidRDefault="00254F2A">
      <w:pPr>
        <w:spacing w:line="480" w:lineRule="exact"/>
        <w:contextualSpacing/>
        <w:jc w:val="left"/>
        <w:rPr>
          <w:rFonts w:eastAsia="宋体"/>
          <w:b/>
          <w:bCs/>
          <w:sz w:val="24"/>
        </w:rPr>
      </w:pPr>
      <w:r>
        <w:rPr>
          <w:rFonts w:eastAsia="宋体" w:hint="eastAsia"/>
          <w:b/>
          <w:bCs/>
          <w:sz w:val="24"/>
        </w:rPr>
        <w:t>（</w:t>
      </w:r>
      <w:r>
        <w:rPr>
          <w:rFonts w:eastAsia="宋体" w:hint="eastAsia"/>
          <w:b/>
          <w:bCs/>
          <w:sz w:val="24"/>
        </w:rPr>
        <w:t>2</w:t>
      </w:r>
      <w:r>
        <w:rPr>
          <w:rFonts w:eastAsia="宋体" w:hint="eastAsia"/>
          <w:b/>
          <w:bCs/>
          <w:sz w:val="24"/>
        </w:rPr>
        <w:t>）老年综合评估数据同步上传：</w:t>
      </w:r>
    </w:p>
    <w:p w14:paraId="77F8E936" w14:textId="77777777" w:rsidR="004C3B8E" w:rsidRDefault="00254F2A">
      <w:pPr>
        <w:spacing w:line="480" w:lineRule="exact"/>
        <w:contextualSpacing/>
        <w:jc w:val="left"/>
        <w:rPr>
          <w:rFonts w:eastAsia="宋体"/>
          <w:sz w:val="24"/>
        </w:rPr>
      </w:pPr>
      <w:r>
        <w:rPr>
          <w:rFonts w:eastAsia="宋体" w:hint="eastAsia"/>
          <w:b/>
          <w:bCs/>
          <w:sz w:val="24"/>
        </w:rPr>
        <w:t xml:space="preserve"> </w:t>
      </w:r>
      <w:r>
        <w:rPr>
          <w:rFonts w:eastAsia="宋体"/>
          <w:b/>
          <w:bCs/>
          <w:sz w:val="24"/>
        </w:rPr>
        <w:t xml:space="preserve">    </w:t>
      </w:r>
      <w:r>
        <w:rPr>
          <w:rFonts w:eastAsia="宋体" w:hint="eastAsia"/>
          <w:sz w:val="24"/>
        </w:rPr>
        <w:t>老年综合征的管理基础是老年综合评估发现的功能障碍，在老年患者中共病程度高、老年综合征发生率高，是老年患者住院时间延长、医疗花费增加、不良事件增多以及预后不良的主要原因。在智慧化干预策略库建成前，将需要会诊患者的老年综合征数据上传会诊平台，不仅能供专家判断患者功能受损情况，还可以指导当地医师进一步完善评估以及提供多学科团队干预建议。</w:t>
      </w:r>
    </w:p>
    <w:p w14:paraId="2317B04F" w14:textId="77777777" w:rsidR="004C3B8E" w:rsidRDefault="00254F2A">
      <w:pPr>
        <w:spacing w:line="480" w:lineRule="exact"/>
        <w:contextualSpacing/>
        <w:jc w:val="left"/>
        <w:rPr>
          <w:rFonts w:eastAsia="宋体"/>
          <w:b/>
          <w:bCs/>
          <w:sz w:val="24"/>
        </w:rPr>
      </w:pPr>
      <w:r>
        <w:rPr>
          <w:rFonts w:eastAsia="宋体" w:hint="eastAsia"/>
          <w:b/>
          <w:bCs/>
          <w:sz w:val="24"/>
        </w:rPr>
        <w:t>（</w:t>
      </w:r>
      <w:r>
        <w:rPr>
          <w:rFonts w:eastAsia="宋体" w:hint="eastAsia"/>
          <w:b/>
          <w:bCs/>
          <w:sz w:val="24"/>
        </w:rPr>
        <w:t>3</w:t>
      </w:r>
      <w:r>
        <w:rPr>
          <w:rFonts w:eastAsia="宋体" w:hint="eastAsia"/>
          <w:b/>
          <w:bCs/>
          <w:sz w:val="24"/>
        </w:rPr>
        <w:t>）搭建远程会诊平台：</w:t>
      </w:r>
    </w:p>
    <w:p w14:paraId="5ED38B8F" w14:textId="77777777" w:rsidR="004C3B8E" w:rsidRDefault="00254F2A">
      <w:pPr>
        <w:spacing w:line="480" w:lineRule="exact"/>
        <w:contextualSpacing/>
        <w:jc w:val="left"/>
        <w:rPr>
          <w:rFonts w:eastAsia="宋体"/>
          <w:sz w:val="24"/>
        </w:rPr>
      </w:pPr>
      <w:r>
        <w:rPr>
          <w:rFonts w:eastAsia="宋体" w:hint="eastAsia"/>
          <w:sz w:val="24"/>
        </w:rPr>
        <w:t xml:space="preserve"> </w:t>
      </w:r>
      <w:r>
        <w:rPr>
          <w:rFonts w:eastAsia="宋体"/>
          <w:sz w:val="24"/>
        </w:rPr>
        <w:t xml:space="preserve">    </w:t>
      </w:r>
      <w:r>
        <w:rPr>
          <w:rFonts w:eastAsia="宋体" w:hint="eastAsia"/>
          <w:sz w:val="24"/>
        </w:rPr>
        <w:t>为节约医疗成本，通过远程会诊对老年患者进行专家诊疗，是提升我省老年医学专科诊疗水平的有效措施之一。疑难危重患者在无条件外出就诊时，利用远程会诊中心可以跨越区域限制，及时得到疾病诊治的同时获得包括合理用药、营养支持、心理干预、康复理疗、专科护理等全人管理意见。同时多端口接入时可以实现多学科、多单位线上实施交流与讨论。在远程会诊平台建设玩成后也可以利用此渠道形成老年专科培训、人才培养、新技术新方法的推广平台，更有效的联合全省老年医学实力，共同为老年人群健康保障不断提升诊疗水平。构建老年危急重症多学科诊疗平台</w:t>
      </w:r>
      <w:r>
        <w:rPr>
          <w:rFonts w:eastAsia="宋体" w:hint="eastAsia"/>
          <w:b/>
          <w:bCs/>
          <w:sz w:val="24"/>
        </w:rPr>
        <w:t>，</w:t>
      </w:r>
      <w:r>
        <w:rPr>
          <w:rFonts w:eastAsia="宋体" w:hint="eastAsia"/>
          <w:sz w:val="24"/>
        </w:rPr>
        <w:t>提升重症诊疗团队医疗质量及</w:t>
      </w:r>
      <w:r>
        <w:rPr>
          <w:rFonts w:eastAsia="宋体" w:hint="eastAsia"/>
          <w:sz w:val="24"/>
        </w:rPr>
        <w:t>D</w:t>
      </w:r>
      <w:r>
        <w:rPr>
          <w:rFonts w:eastAsia="宋体"/>
          <w:sz w:val="24"/>
        </w:rPr>
        <w:t>RGs</w:t>
      </w:r>
      <w:r>
        <w:rPr>
          <w:rFonts w:eastAsia="宋体" w:hint="eastAsia"/>
          <w:sz w:val="24"/>
        </w:rPr>
        <w:t>、</w:t>
      </w:r>
      <w:r>
        <w:rPr>
          <w:rFonts w:eastAsia="宋体" w:hint="eastAsia"/>
          <w:sz w:val="24"/>
        </w:rPr>
        <w:t>CMI</w:t>
      </w:r>
      <w:r>
        <w:rPr>
          <w:rFonts w:eastAsia="宋体" w:hint="eastAsia"/>
          <w:sz w:val="24"/>
        </w:rPr>
        <w:t>相关指标。将老年疑难、危急重症患者诊疗经验向全省推广。</w:t>
      </w:r>
    </w:p>
    <w:p w14:paraId="749DC403" w14:textId="77777777" w:rsidR="004C3B8E" w:rsidRDefault="004C3B8E">
      <w:pPr>
        <w:jc w:val="left"/>
        <w:rPr>
          <w:sz w:val="28"/>
          <w:szCs w:val="28"/>
        </w:rPr>
      </w:pPr>
    </w:p>
    <w:p w14:paraId="6375A9D6" w14:textId="77777777" w:rsidR="004C3B8E" w:rsidRDefault="00254F2A">
      <w:pPr>
        <w:numPr>
          <w:ilvl w:val="0"/>
          <w:numId w:val="1"/>
        </w:numPr>
        <w:jc w:val="left"/>
        <w:rPr>
          <w:b/>
          <w:bCs/>
          <w:sz w:val="28"/>
          <w:szCs w:val="28"/>
        </w:rPr>
      </w:pPr>
      <w:r>
        <w:rPr>
          <w:rFonts w:hint="eastAsia"/>
          <w:b/>
          <w:bCs/>
          <w:sz w:val="28"/>
          <w:szCs w:val="28"/>
        </w:rPr>
        <w:lastRenderedPageBreak/>
        <w:t>老年疾病管理教育平台</w:t>
      </w:r>
    </w:p>
    <w:p w14:paraId="34017599" w14:textId="77777777" w:rsidR="004C3B8E" w:rsidRDefault="00254F2A">
      <w:pPr>
        <w:spacing w:line="480" w:lineRule="exact"/>
        <w:ind w:firstLineChars="200" w:firstLine="480"/>
        <w:contextualSpacing/>
        <w:jc w:val="left"/>
        <w:rPr>
          <w:rFonts w:eastAsia="宋体"/>
          <w:sz w:val="24"/>
        </w:rPr>
      </w:pPr>
      <w:r>
        <w:rPr>
          <w:rFonts w:eastAsia="宋体" w:hint="eastAsia"/>
          <w:sz w:val="24"/>
        </w:rPr>
        <w:t>对老年病医护人员进行老年综合评估量表的评定、数据汇总以及规范的慢病管理流程的培训；以统一的标准和内容对全省相关医护人员进行同质化教育、培训、学习和考试；全省老年人通过平台上的健康教育认识自身存在的问题，积极配合慢病管理。</w:t>
      </w:r>
    </w:p>
    <w:p w14:paraId="370935EA" w14:textId="77777777" w:rsidR="004C3B8E" w:rsidRDefault="00254F2A">
      <w:pPr>
        <w:spacing w:line="480" w:lineRule="exact"/>
        <w:ind w:firstLineChars="200" w:firstLine="480"/>
        <w:contextualSpacing/>
        <w:jc w:val="left"/>
        <w:rPr>
          <w:rFonts w:eastAsia="宋体"/>
          <w:sz w:val="24"/>
        </w:rPr>
      </w:pPr>
      <w:r>
        <w:rPr>
          <w:rFonts w:eastAsia="宋体" w:hint="eastAsia"/>
          <w:sz w:val="24"/>
        </w:rPr>
        <w:t>开展全民健康教育，特别是针对我国老年人群常见的慢性病开展健康宣教，突出危险因素、预警及监控指标、生活指导、病后康复等知识的普及，引导老年人群认识慢病、转变生活方式、科学防控和主动康复。</w:t>
      </w:r>
    </w:p>
    <w:p w14:paraId="776628D9" w14:textId="77777777" w:rsidR="004C3B8E" w:rsidRDefault="00254F2A">
      <w:pPr>
        <w:spacing w:line="480" w:lineRule="exact"/>
        <w:ind w:firstLineChars="200" w:firstLine="480"/>
        <w:contextualSpacing/>
        <w:jc w:val="left"/>
        <w:rPr>
          <w:rFonts w:eastAsia="宋体"/>
          <w:sz w:val="24"/>
        </w:rPr>
      </w:pPr>
      <w:r>
        <w:rPr>
          <w:rFonts w:eastAsia="宋体" w:hint="eastAsia"/>
          <w:sz w:val="24"/>
        </w:rPr>
        <w:t>通过充分发挥互联网</w:t>
      </w:r>
      <w:r>
        <w:rPr>
          <w:rFonts w:eastAsia="宋体" w:hint="eastAsia"/>
          <w:sz w:val="24"/>
        </w:rPr>
        <w:t>+</w:t>
      </w:r>
      <w:r>
        <w:rPr>
          <w:rFonts w:eastAsia="宋体" w:hint="eastAsia"/>
          <w:sz w:val="24"/>
        </w:rPr>
        <w:t>医疗的功能，进行老年慢病社区规范化管理、社区医疗指导、家庭医师签约、远程会诊、双向转诊、健康教育、用药指导、养生、保健，营养与运动指导等。利用全省各级医院、社区卫生服务站对老年患者慢病数据的收集，对老年人进行全方位、个体化慢病指导。建立由老年患者、家属、医护人员、药师、康复师、营养师、心理学家和社区服务人员等组成的“多对一”新型慢病防治团队。推广全省老年病信息化管理平台，其作用包括：</w:t>
      </w:r>
    </w:p>
    <w:p w14:paraId="2539FAAE" w14:textId="77777777" w:rsidR="004C3B8E" w:rsidRDefault="00254F2A">
      <w:pPr>
        <w:spacing w:line="480" w:lineRule="exact"/>
        <w:contextualSpacing/>
        <w:jc w:val="left"/>
        <w:rPr>
          <w:rFonts w:eastAsia="宋体"/>
          <w:sz w:val="24"/>
        </w:rPr>
      </w:pPr>
      <w:r>
        <w:rPr>
          <w:rFonts w:eastAsia="宋体" w:hint="eastAsia"/>
          <w:sz w:val="24"/>
        </w:rPr>
        <w:t>1</w:t>
      </w:r>
      <w:r>
        <w:rPr>
          <w:rFonts w:eastAsia="宋体" w:hint="eastAsia"/>
          <w:sz w:val="24"/>
        </w:rPr>
        <w:t>、慢病预防，通过平台可以对全省老年患者进行健康教育。心脑血管疾病、慢性呼吸道疾病、肿瘤和糖尿病是我国老年人常见的慢性病，存在着共同的危险因素，其中吸烟、饮酒、不合理饮食和运动及肥胖、心理障碍等危险因素是可干预的，针对多个危险因素开展综合性社区干预能有效预防和控制慢病；</w:t>
      </w:r>
    </w:p>
    <w:p w14:paraId="3C52A3C7" w14:textId="77777777" w:rsidR="004C3B8E" w:rsidRDefault="00254F2A">
      <w:pPr>
        <w:spacing w:line="480" w:lineRule="exact"/>
        <w:contextualSpacing/>
        <w:jc w:val="left"/>
        <w:rPr>
          <w:rFonts w:eastAsia="宋体"/>
          <w:sz w:val="24"/>
        </w:rPr>
      </w:pPr>
      <w:r>
        <w:rPr>
          <w:rFonts w:eastAsia="宋体" w:hint="eastAsia"/>
          <w:sz w:val="24"/>
        </w:rPr>
        <w:t>2</w:t>
      </w:r>
      <w:r>
        <w:rPr>
          <w:rFonts w:eastAsia="宋体" w:hint="eastAsia"/>
          <w:sz w:val="24"/>
        </w:rPr>
        <w:t>、综合评估，依托老年综合评估平台数据对对多器官功能的评估，筛查潜在的老年临床问题，并据此对老年患者慢病进行分级管理、指导临床干预决策和进行转归预测分析；</w:t>
      </w:r>
    </w:p>
    <w:p w14:paraId="4961D678" w14:textId="77777777" w:rsidR="004C3B8E" w:rsidRDefault="00254F2A">
      <w:pPr>
        <w:spacing w:line="480" w:lineRule="exact"/>
        <w:contextualSpacing/>
        <w:jc w:val="left"/>
        <w:rPr>
          <w:rFonts w:eastAsia="宋体"/>
          <w:sz w:val="24"/>
        </w:rPr>
      </w:pPr>
      <w:r>
        <w:rPr>
          <w:rFonts w:eastAsia="宋体" w:hint="eastAsia"/>
          <w:sz w:val="24"/>
        </w:rPr>
        <w:t>3</w:t>
      </w:r>
      <w:r>
        <w:rPr>
          <w:rFonts w:eastAsia="宋体" w:hint="eastAsia"/>
          <w:sz w:val="24"/>
        </w:rPr>
        <w:t>、早期康复，依靠平台可以整合全省慢病康复机构，对老年患者进行早期康复介入，改善患者生活质量，提高患者生活湘理能力；</w:t>
      </w:r>
    </w:p>
    <w:p w14:paraId="496D96E1" w14:textId="77777777" w:rsidR="004C3B8E" w:rsidRDefault="00254F2A">
      <w:pPr>
        <w:spacing w:line="480" w:lineRule="exact"/>
        <w:contextualSpacing/>
        <w:jc w:val="left"/>
        <w:rPr>
          <w:rFonts w:eastAsia="宋体"/>
          <w:sz w:val="24"/>
        </w:rPr>
      </w:pPr>
      <w:r>
        <w:rPr>
          <w:rFonts w:eastAsia="宋体" w:hint="eastAsia"/>
          <w:sz w:val="24"/>
        </w:rPr>
        <w:t>4</w:t>
      </w:r>
      <w:r>
        <w:rPr>
          <w:rFonts w:eastAsia="宋体" w:hint="eastAsia"/>
          <w:sz w:val="24"/>
        </w:rPr>
        <w:t>、居家照护，平台涉及的社区卫生服务站可以提供专业照护的完整服务体系，由医师、护士、护理师、心理咨询师、康复师等各类专业人员组成，对老年患者提供健康照护与社会照护。重视高龄、丧偶、空巢老年人的心理护理。通过平台交流、健康指导，使老年人正确的自我评价，通过组织老年群体活动，促</w:t>
      </w:r>
      <w:r>
        <w:rPr>
          <w:rFonts w:eastAsia="宋体" w:hint="eastAsia"/>
          <w:sz w:val="24"/>
        </w:rPr>
        <w:lastRenderedPageBreak/>
        <w:t>进老年人间的交流，达到促进心理健康、心身并护的目的；</w:t>
      </w:r>
    </w:p>
    <w:p w14:paraId="0C42150D" w14:textId="77777777" w:rsidR="004C3B8E" w:rsidRDefault="00254F2A">
      <w:pPr>
        <w:spacing w:line="480" w:lineRule="exact"/>
        <w:contextualSpacing/>
        <w:jc w:val="left"/>
        <w:rPr>
          <w:rFonts w:eastAsia="宋体"/>
          <w:sz w:val="24"/>
        </w:rPr>
      </w:pPr>
      <w:r>
        <w:rPr>
          <w:rFonts w:eastAsia="宋体" w:cstheme="minorHAnsi" w:hint="eastAsia"/>
          <w:sz w:val="24"/>
        </w:rPr>
        <w:t>5</w:t>
      </w:r>
      <w:r>
        <w:rPr>
          <w:rFonts w:eastAsia="宋体" w:cstheme="minorHAnsi" w:hint="eastAsia"/>
          <w:sz w:val="24"/>
        </w:rPr>
        <w:t>、</w:t>
      </w:r>
      <w:r>
        <w:rPr>
          <w:rFonts w:eastAsia="宋体" w:hint="eastAsia"/>
          <w:sz w:val="24"/>
        </w:rPr>
        <w:t>安宁疗护：对于疾病不可逆、失去医学上救治意义的临终患者，平台联合云南新昆华医院缓和医学中心可以提供减轻痛苦的舒缓医疗服务。在控制疼痛以及疾病症状外，对病患的心理及精神层面提供整体的照顾，使患者舒适、安宁、尊严地离世。全省老年病信息化管理平台搭建成功后，有助于双向转诊的规模及效率扩大化，可以有效减少区域限制及信息传递不及时造成的诊疗延误及康养缺失。通过互联网及远程医疗，进行实时反馈、实时评估、实施决策和实时干预，实现医养体系的生态重构，真正实现居家</w:t>
      </w:r>
      <w:r>
        <w:rPr>
          <w:rFonts w:eastAsia="宋体" w:hint="eastAsia"/>
          <w:sz w:val="24"/>
        </w:rPr>
        <w:t>-</w:t>
      </w:r>
      <w:r>
        <w:rPr>
          <w:rFonts w:eastAsia="宋体" w:hint="eastAsia"/>
          <w:sz w:val="24"/>
        </w:rPr>
        <w:t>社区</w:t>
      </w:r>
      <w:r>
        <w:rPr>
          <w:rFonts w:eastAsia="宋体" w:hint="eastAsia"/>
          <w:sz w:val="24"/>
        </w:rPr>
        <w:t>-</w:t>
      </w:r>
      <w:r>
        <w:rPr>
          <w:rFonts w:eastAsia="宋体" w:hint="eastAsia"/>
          <w:sz w:val="24"/>
        </w:rPr>
        <w:t>医养机构的无缝衔接和深度融合。同时，推广老年慢病信息化管理平台，所收集的老年人群健康数据，还将有助于我省卫健委及时掌握老年人口健康状况、对后续提出针对性老年人卫生保健政策、健康教育、制定常见慢性病的社区卫生服务防治指南等提供数据支持。</w:t>
      </w:r>
    </w:p>
    <w:p w14:paraId="30B33E19" w14:textId="77777777" w:rsidR="004C3B8E" w:rsidRDefault="00254F2A">
      <w:pPr>
        <w:numPr>
          <w:ilvl w:val="0"/>
          <w:numId w:val="2"/>
        </w:numPr>
        <w:spacing w:line="480" w:lineRule="exact"/>
        <w:contextualSpacing/>
        <w:jc w:val="left"/>
        <w:rPr>
          <w:rFonts w:eastAsia="宋体"/>
          <w:b/>
          <w:bCs/>
          <w:sz w:val="28"/>
          <w:szCs w:val="28"/>
        </w:rPr>
      </w:pPr>
      <w:r>
        <w:rPr>
          <w:rFonts w:eastAsia="宋体" w:hint="eastAsia"/>
          <w:b/>
          <w:bCs/>
          <w:sz w:val="28"/>
          <w:szCs w:val="28"/>
        </w:rPr>
        <w:t>平台构建需求：</w:t>
      </w:r>
    </w:p>
    <w:p w14:paraId="6762084A" w14:textId="77777777" w:rsidR="004C3B8E" w:rsidRDefault="00254F2A">
      <w:pPr>
        <w:numPr>
          <w:ilvl w:val="0"/>
          <w:numId w:val="3"/>
        </w:numPr>
        <w:spacing w:line="480" w:lineRule="exact"/>
        <w:contextualSpacing/>
        <w:jc w:val="left"/>
        <w:rPr>
          <w:rFonts w:eastAsia="宋体"/>
          <w:sz w:val="24"/>
        </w:rPr>
      </w:pPr>
      <w:r>
        <w:rPr>
          <w:rFonts w:eastAsia="宋体" w:hint="eastAsia"/>
          <w:sz w:val="24"/>
        </w:rPr>
        <w:t>需要构建专业的“智慧老年健康管理远程诊疗及教育平台”，能够提供远程会诊图像传输、同步音频传输、包含老年综合评估系统软件评估结果、</w:t>
      </w:r>
      <w:r>
        <w:rPr>
          <w:rFonts w:eastAsia="宋体"/>
          <w:sz w:val="24"/>
        </w:rPr>
        <w:t>LIS</w:t>
      </w:r>
      <w:r>
        <w:rPr>
          <w:rFonts w:eastAsia="宋体" w:hint="eastAsia"/>
          <w:sz w:val="24"/>
        </w:rPr>
        <w:t>、</w:t>
      </w:r>
      <w:r>
        <w:rPr>
          <w:rFonts w:eastAsia="宋体" w:hint="eastAsia"/>
          <w:sz w:val="24"/>
        </w:rPr>
        <w:t>H</w:t>
      </w:r>
      <w:r>
        <w:rPr>
          <w:rFonts w:eastAsia="宋体"/>
          <w:sz w:val="24"/>
        </w:rPr>
        <w:t>IS</w:t>
      </w:r>
      <w:r>
        <w:rPr>
          <w:rFonts w:eastAsia="宋体" w:hint="eastAsia"/>
          <w:sz w:val="24"/>
        </w:rPr>
        <w:t>、</w:t>
      </w:r>
      <w:r>
        <w:rPr>
          <w:rFonts w:eastAsia="宋体" w:hint="eastAsia"/>
          <w:sz w:val="24"/>
        </w:rPr>
        <w:t>P</w:t>
      </w:r>
      <w:r>
        <w:rPr>
          <w:rFonts w:eastAsia="宋体"/>
          <w:sz w:val="24"/>
        </w:rPr>
        <w:t>ACS</w:t>
      </w:r>
      <w:r>
        <w:rPr>
          <w:rFonts w:eastAsia="宋体" w:hint="eastAsia"/>
          <w:sz w:val="24"/>
        </w:rPr>
        <w:t>信息交互；</w:t>
      </w:r>
    </w:p>
    <w:p w14:paraId="36E4FC77" w14:textId="77777777" w:rsidR="004C3B8E" w:rsidRDefault="00254F2A">
      <w:pPr>
        <w:numPr>
          <w:ilvl w:val="0"/>
          <w:numId w:val="3"/>
        </w:numPr>
        <w:spacing w:line="480" w:lineRule="exact"/>
        <w:contextualSpacing/>
        <w:jc w:val="left"/>
        <w:rPr>
          <w:rFonts w:eastAsia="宋体"/>
          <w:sz w:val="24"/>
        </w:rPr>
      </w:pPr>
      <w:r>
        <w:rPr>
          <w:rFonts w:eastAsia="宋体" w:hint="eastAsia"/>
          <w:sz w:val="24"/>
        </w:rPr>
        <w:t>需要购置电脑、打印机、摄像头、麦克风等办公设备、相关科室如营养科、康复科、药学科、心理科等相关多学科需有连线共享功能；</w:t>
      </w:r>
    </w:p>
    <w:p w14:paraId="09B62532" w14:textId="3C382246" w:rsidR="004C3B8E" w:rsidRDefault="00254F2A">
      <w:pPr>
        <w:numPr>
          <w:ilvl w:val="0"/>
          <w:numId w:val="3"/>
        </w:numPr>
        <w:spacing w:line="480" w:lineRule="exact"/>
        <w:contextualSpacing/>
        <w:jc w:val="left"/>
        <w:rPr>
          <w:rFonts w:eastAsia="宋体"/>
          <w:sz w:val="24"/>
        </w:rPr>
      </w:pPr>
      <w:r>
        <w:rPr>
          <w:rFonts w:eastAsia="宋体" w:hint="eastAsia"/>
          <w:sz w:val="24"/>
        </w:rPr>
        <w:t>需要保证信息传输所需的相应带宽、数据流量、以及数据存储云空间；</w:t>
      </w:r>
    </w:p>
    <w:p w14:paraId="29ACF7BF" w14:textId="114C4E9A" w:rsidR="004C3B8E" w:rsidRDefault="00254F2A">
      <w:pPr>
        <w:numPr>
          <w:ilvl w:val="0"/>
          <w:numId w:val="2"/>
        </w:numPr>
        <w:jc w:val="left"/>
        <w:rPr>
          <w:b/>
          <w:bCs/>
          <w:sz w:val="28"/>
          <w:szCs w:val="28"/>
        </w:rPr>
      </w:pPr>
      <w:r>
        <w:rPr>
          <w:rFonts w:hint="eastAsia"/>
          <w:b/>
          <w:bCs/>
          <w:sz w:val="28"/>
          <w:szCs w:val="28"/>
        </w:rPr>
        <w:t>平台系统经费预算</w:t>
      </w:r>
    </w:p>
    <w:p w14:paraId="3770266A" w14:textId="7B39DC10" w:rsidR="0017115E" w:rsidRPr="002C062A" w:rsidRDefault="0017115E" w:rsidP="002C062A">
      <w:pPr>
        <w:rPr>
          <w:b/>
          <w:bCs/>
        </w:rPr>
      </w:pPr>
      <w:r w:rsidRPr="002C062A">
        <w:rPr>
          <w:rFonts w:hint="eastAsia"/>
          <w:b/>
          <w:bCs/>
        </w:rPr>
        <w:t>（一）、系统建设</w:t>
      </w:r>
    </w:p>
    <w:tbl>
      <w:tblPr>
        <w:tblW w:w="8271" w:type="dxa"/>
        <w:tblInd w:w="88" w:type="dxa"/>
        <w:tblLayout w:type="fixed"/>
        <w:tblLook w:val="04A0" w:firstRow="1" w:lastRow="0" w:firstColumn="1" w:lastColumn="0" w:noHBand="0" w:noVBand="1"/>
      </w:tblPr>
      <w:tblGrid>
        <w:gridCol w:w="658"/>
        <w:gridCol w:w="4352"/>
        <w:gridCol w:w="567"/>
        <w:gridCol w:w="993"/>
        <w:gridCol w:w="1701"/>
      </w:tblGrid>
      <w:tr w:rsidR="00AB606B" w14:paraId="4F41210C" w14:textId="77777777" w:rsidTr="0017115E">
        <w:trPr>
          <w:trHeight w:val="863"/>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21614" w14:textId="77777777" w:rsidR="00AB606B" w:rsidRDefault="00AB606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D190" w14:textId="77777777" w:rsidR="00AB606B" w:rsidRDefault="00AB606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预算项目</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1855420E" w14:textId="77777777" w:rsidR="00AB606B" w:rsidRDefault="00AB606B">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台数</w:t>
            </w:r>
          </w:p>
        </w:tc>
        <w:tc>
          <w:tcPr>
            <w:tcW w:w="993" w:type="dxa"/>
            <w:tcBorders>
              <w:top w:val="single" w:sz="4" w:space="0" w:color="000000"/>
              <w:left w:val="nil"/>
              <w:bottom w:val="nil"/>
              <w:right w:val="single" w:sz="4" w:space="0" w:color="000000"/>
            </w:tcBorders>
            <w:shd w:val="clear" w:color="auto" w:fill="auto"/>
            <w:noWrap/>
            <w:vAlign w:val="center"/>
          </w:tcPr>
          <w:p w14:paraId="19D3C42B" w14:textId="77777777" w:rsidR="00AB606B" w:rsidRDefault="00AB606B">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B791" w14:textId="77777777" w:rsidR="00AB606B" w:rsidRDefault="00AB606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备注</w:t>
            </w:r>
          </w:p>
        </w:tc>
      </w:tr>
      <w:tr w:rsidR="00AB606B" w14:paraId="075F2F4A" w14:textId="77777777" w:rsidTr="0017115E">
        <w:trPr>
          <w:trHeight w:val="182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DAE5E"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F9EF" w14:textId="6C66F120"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软件平台接口对影像、超声系统、生化及院内需要对接的信息系统，不限HIS、LIS、PACS等设备获取动态检测数据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EF8A0"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2334F1CF" w14:textId="7F7AA350"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2F72"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一期医疗机构软件接口费</w:t>
            </w:r>
          </w:p>
        </w:tc>
      </w:tr>
      <w:tr w:rsidR="00AB606B" w14:paraId="728942E8" w14:textId="77777777" w:rsidTr="0017115E">
        <w:trPr>
          <w:trHeight w:val="84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5DB8F"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E733"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老年共病多学科诊疗平台</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5A8658BB"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6F06E987" w14:textId="68E3B4A8"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D5BC"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创建新平台</w:t>
            </w:r>
          </w:p>
        </w:tc>
      </w:tr>
      <w:tr w:rsidR="00AB606B" w14:paraId="08F6DF93" w14:textId="77777777" w:rsidTr="0017115E">
        <w:trPr>
          <w:trHeight w:val="60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8C0EC"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D88E"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搭建疑难危重症会诊平台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9899D"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4FC1378E" w14:textId="611E4CB5"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334C"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创建新平台</w:t>
            </w:r>
          </w:p>
        </w:tc>
      </w:tr>
      <w:tr w:rsidR="00AB606B" w14:paraId="2EB7B2CB" w14:textId="77777777" w:rsidTr="0017115E">
        <w:trPr>
          <w:trHeight w:val="60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BD2A3"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6E96"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搭建老年疾病管理教育平台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B5340"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2A25982A" w14:textId="3AD82D25"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BD22"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创建新平台</w:t>
            </w:r>
          </w:p>
        </w:tc>
      </w:tr>
      <w:tr w:rsidR="00AB606B" w14:paraId="4AAA999B" w14:textId="77777777" w:rsidTr="0017115E">
        <w:trPr>
          <w:trHeight w:val="60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2EFBC"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43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3DEE9"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搭建老年人心理咨询平台</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754B3B6D"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6233B9EF" w14:textId="09A1F9E3"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301C"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创建新平台</w:t>
            </w:r>
          </w:p>
        </w:tc>
      </w:tr>
      <w:tr w:rsidR="00AB606B" w14:paraId="3DC42D2A" w14:textId="77777777" w:rsidTr="0017115E">
        <w:trPr>
          <w:trHeight w:val="90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1AC27" w14:textId="35B62780"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2B3C"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运动康复监控系统</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5E75792F"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nil"/>
              <w:bottom w:val="nil"/>
              <w:right w:val="single" w:sz="4" w:space="0" w:color="000000"/>
            </w:tcBorders>
            <w:shd w:val="clear" w:color="auto" w:fill="auto"/>
            <w:noWrap/>
            <w:vAlign w:val="center"/>
          </w:tcPr>
          <w:p w14:paraId="5BB6D87D" w14:textId="6F3C5D9D"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936B"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一期干预后进行康复监控</w:t>
            </w:r>
          </w:p>
        </w:tc>
      </w:tr>
      <w:tr w:rsidR="00AB606B" w14:paraId="0AC1D126" w14:textId="77777777" w:rsidTr="0017115E">
        <w:trPr>
          <w:trHeight w:val="158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56E10" w14:textId="7796D872"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326E"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辐射地州搭建系统平台相关费用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77EE7" w14:textId="77777777" w:rsidR="00AB606B" w:rsidRDefault="00AB606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C2EB2" w14:textId="2A036D7B" w:rsidR="00AB606B" w:rsidRDefault="00AB606B">
            <w:pPr>
              <w:widowControl/>
              <w:jc w:val="center"/>
              <w:textAlignment w:val="cente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1168" w14:textId="77777777" w:rsidR="00AB606B" w:rsidRDefault="00AB606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一期进行推广，在地州搭建相应平台系统</w:t>
            </w:r>
          </w:p>
        </w:tc>
      </w:tr>
      <w:tr w:rsidR="00AB606B" w14:paraId="215C7940" w14:textId="77777777" w:rsidTr="0017115E">
        <w:trPr>
          <w:trHeight w:val="158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BD864" w14:textId="70FA86DF" w:rsidR="00AB606B" w:rsidRDefault="00AB606B" w:rsidP="0076626D">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35D1" w14:textId="2A36C0B7" w:rsidR="00AB606B" w:rsidRDefault="00AB606B" w:rsidP="0076626D">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建立多学科团队相关费用（不含在本次建设咨询费用内）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6353" w14:textId="2975E79A" w:rsidR="00AB606B" w:rsidRDefault="00AB606B" w:rsidP="0076626D">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C53ED" w14:textId="2B42CAD9" w:rsidR="00AB606B" w:rsidRDefault="00AB606B" w:rsidP="0076626D">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组织专家建立多学科诊疗团队及形成智慧管理平台</w:t>
            </w:r>
          </w:p>
        </w:tc>
      </w:tr>
      <w:tr w:rsidR="00AB606B" w14:paraId="2E9F2793" w14:textId="77777777" w:rsidTr="0017115E">
        <w:trPr>
          <w:trHeight w:val="158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D4D85" w14:textId="1E653B3F" w:rsidR="00AB606B" w:rsidRDefault="002C062A" w:rsidP="0076626D">
            <w:pPr>
              <w:widowControl/>
              <w:jc w:val="center"/>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10</w:t>
            </w:r>
          </w:p>
        </w:tc>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1C3" w14:textId="3129F557" w:rsidR="00AB606B" w:rsidRDefault="00AB606B" w:rsidP="0076626D">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专家指导相关费用（不含在本次建设咨询费用内）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18365" w14:textId="42E4ABDE" w:rsidR="00AB606B" w:rsidRDefault="00AB606B" w:rsidP="0076626D">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68529" w14:textId="59A2413C" w:rsidR="00AB606B" w:rsidRDefault="00AB606B" w:rsidP="0076626D">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差旅费、专家劳务费</w:t>
            </w:r>
          </w:p>
        </w:tc>
      </w:tr>
    </w:tbl>
    <w:p w14:paraId="114DBF89" w14:textId="77777777" w:rsidR="002C062A" w:rsidRDefault="002C062A" w:rsidP="002C062A">
      <w:pPr>
        <w:rPr>
          <w:rFonts w:eastAsia="宋体"/>
          <w:sz w:val="24"/>
        </w:rPr>
      </w:pPr>
    </w:p>
    <w:p w14:paraId="062711B3" w14:textId="6A8087E3" w:rsidR="0017115E" w:rsidRPr="002C062A" w:rsidRDefault="002C062A" w:rsidP="002C062A">
      <w:pPr>
        <w:rPr>
          <w:b/>
          <w:bCs/>
        </w:rPr>
      </w:pPr>
      <w:r w:rsidRPr="002C062A">
        <w:rPr>
          <w:rFonts w:hint="eastAsia"/>
          <w:b/>
          <w:bCs/>
        </w:rPr>
        <w:t>（二）、</w:t>
      </w:r>
      <w:r w:rsidR="0017115E" w:rsidRPr="002C062A">
        <w:rPr>
          <w:rFonts w:hint="eastAsia"/>
          <w:b/>
          <w:bCs/>
        </w:rPr>
        <w:t>老年医学科远程会诊平台设备需求</w:t>
      </w:r>
      <w:r w:rsidRPr="002C062A">
        <w:rPr>
          <w:rFonts w:hint="eastAsia"/>
          <w:b/>
          <w:bCs/>
        </w:rPr>
        <w:t xml:space="preserve"> </w:t>
      </w:r>
    </w:p>
    <w:p w14:paraId="23DEAAD0" w14:textId="77777777" w:rsidR="0017115E" w:rsidRDefault="0017115E" w:rsidP="0017115E"/>
    <w:p w14:paraId="304BBC8A" w14:textId="280A0929" w:rsidR="0017115E" w:rsidRDefault="0017115E" w:rsidP="0017115E">
      <w:pPr>
        <w:ind w:firstLineChars="200" w:firstLine="420"/>
      </w:pPr>
      <w:r>
        <w:rPr>
          <w:rFonts w:hint="eastAsia"/>
        </w:rPr>
        <w:t>为满足“老年综合征及健康促进管理系统的构建”需求，老年医学科拟申购老年综合评估设备，及多学科会诊终端设备计划如下，以满足老年医学科工作需要。</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7"/>
        <w:gridCol w:w="2086"/>
        <w:gridCol w:w="3875"/>
        <w:gridCol w:w="860"/>
        <w:gridCol w:w="778"/>
      </w:tblGrid>
      <w:tr w:rsidR="0017115E" w14:paraId="12B28E49" w14:textId="0D15FD6A" w:rsidTr="0017115E">
        <w:tc>
          <w:tcPr>
            <w:tcW w:w="697" w:type="dxa"/>
            <w:tcBorders>
              <w:top w:val="single" w:sz="4" w:space="0" w:color="auto"/>
              <w:left w:val="single" w:sz="4" w:space="0" w:color="auto"/>
              <w:bottom w:val="single" w:sz="4" w:space="0" w:color="auto"/>
              <w:right w:val="single" w:sz="4" w:space="0" w:color="auto"/>
            </w:tcBorders>
          </w:tcPr>
          <w:p w14:paraId="378FEA39" w14:textId="4D99701E" w:rsidR="0017115E" w:rsidRDefault="0017115E" w:rsidP="00EF0606">
            <w:r>
              <w:rPr>
                <w:rFonts w:hint="eastAsia"/>
              </w:rPr>
              <w:t>序号</w:t>
            </w:r>
          </w:p>
        </w:tc>
        <w:tc>
          <w:tcPr>
            <w:tcW w:w="2086" w:type="dxa"/>
            <w:tcBorders>
              <w:top w:val="single" w:sz="4" w:space="0" w:color="auto"/>
              <w:left w:val="single" w:sz="4" w:space="0" w:color="auto"/>
              <w:bottom w:val="single" w:sz="4" w:space="0" w:color="auto"/>
              <w:right w:val="single" w:sz="4" w:space="0" w:color="auto"/>
            </w:tcBorders>
          </w:tcPr>
          <w:p w14:paraId="648CBED7" w14:textId="2021463A" w:rsidR="0017115E" w:rsidRDefault="0017115E" w:rsidP="00EF0606">
            <w:r>
              <w:rPr>
                <w:rFonts w:hint="eastAsia"/>
              </w:rPr>
              <w:t>设备内容</w:t>
            </w:r>
          </w:p>
        </w:tc>
        <w:tc>
          <w:tcPr>
            <w:tcW w:w="3875" w:type="dxa"/>
            <w:tcBorders>
              <w:top w:val="single" w:sz="4" w:space="0" w:color="auto"/>
              <w:left w:val="single" w:sz="4" w:space="0" w:color="auto"/>
              <w:bottom w:val="single" w:sz="4" w:space="0" w:color="auto"/>
              <w:right w:val="single" w:sz="4" w:space="0" w:color="auto"/>
            </w:tcBorders>
          </w:tcPr>
          <w:p w14:paraId="06822D9A" w14:textId="77777777" w:rsidR="0017115E" w:rsidRDefault="0017115E" w:rsidP="00EF0606">
            <w:r>
              <w:rPr>
                <w:rFonts w:hint="eastAsia"/>
              </w:rPr>
              <w:t>拟参考型号</w:t>
            </w:r>
          </w:p>
        </w:tc>
        <w:tc>
          <w:tcPr>
            <w:tcW w:w="860" w:type="dxa"/>
            <w:tcBorders>
              <w:top w:val="single" w:sz="4" w:space="0" w:color="auto"/>
              <w:left w:val="single" w:sz="4" w:space="0" w:color="auto"/>
              <w:bottom w:val="single" w:sz="4" w:space="0" w:color="auto"/>
              <w:right w:val="single" w:sz="4" w:space="0" w:color="auto"/>
            </w:tcBorders>
          </w:tcPr>
          <w:p w14:paraId="4B1C2B36" w14:textId="77777777" w:rsidR="0017115E" w:rsidRDefault="0017115E" w:rsidP="00EF0606">
            <w:r>
              <w:rPr>
                <w:rFonts w:hint="eastAsia"/>
              </w:rPr>
              <w:t>数量</w:t>
            </w:r>
          </w:p>
        </w:tc>
        <w:tc>
          <w:tcPr>
            <w:tcW w:w="778" w:type="dxa"/>
            <w:tcBorders>
              <w:top w:val="single" w:sz="4" w:space="0" w:color="auto"/>
              <w:left w:val="single" w:sz="4" w:space="0" w:color="auto"/>
              <w:bottom w:val="single" w:sz="4" w:space="0" w:color="auto"/>
              <w:right w:val="single" w:sz="4" w:space="0" w:color="auto"/>
            </w:tcBorders>
          </w:tcPr>
          <w:p w14:paraId="1FA78A73" w14:textId="59EA827B" w:rsidR="0017115E" w:rsidRDefault="0017115E" w:rsidP="00EF0606">
            <w:r>
              <w:rPr>
                <w:rFonts w:hint="eastAsia"/>
              </w:rPr>
              <w:t>报价</w:t>
            </w:r>
          </w:p>
        </w:tc>
      </w:tr>
      <w:tr w:rsidR="0017115E" w14:paraId="3D22EB98" w14:textId="7977276E" w:rsidTr="0017115E">
        <w:tc>
          <w:tcPr>
            <w:tcW w:w="697" w:type="dxa"/>
            <w:tcBorders>
              <w:top w:val="single" w:sz="4" w:space="0" w:color="auto"/>
              <w:left w:val="single" w:sz="4" w:space="0" w:color="auto"/>
              <w:bottom w:val="single" w:sz="4" w:space="0" w:color="auto"/>
              <w:right w:val="single" w:sz="4" w:space="0" w:color="auto"/>
            </w:tcBorders>
          </w:tcPr>
          <w:p w14:paraId="1590EE40"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67094DED" w14:textId="27196DAB" w:rsidR="0017115E" w:rsidRDefault="0017115E" w:rsidP="00EF0606">
            <w:r>
              <w:rPr>
                <w:rFonts w:hint="eastAsia"/>
              </w:rPr>
              <w:t>老年综合评估设备（平板电脑</w:t>
            </w:r>
            <w:r>
              <w:t>)</w:t>
            </w:r>
          </w:p>
        </w:tc>
        <w:tc>
          <w:tcPr>
            <w:tcW w:w="3875" w:type="dxa"/>
            <w:tcBorders>
              <w:top w:val="single" w:sz="4" w:space="0" w:color="auto"/>
              <w:left w:val="single" w:sz="4" w:space="0" w:color="auto"/>
              <w:bottom w:val="single" w:sz="4" w:space="0" w:color="auto"/>
              <w:right w:val="single" w:sz="4" w:space="0" w:color="auto"/>
            </w:tcBorders>
          </w:tcPr>
          <w:p w14:paraId="6AFF5AE8" w14:textId="75BC3CBB" w:rsidR="0017115E" w:rsidRDefault="0017115E" w:rsidP="00EF0606">
            <w:r>
              <w:rPr>
                <w:rFonts w:hint="eastAsia"/>
              </w:rPr>
              <w:t>平板电脑</w:t>
            </w:r>
            <w:r>
              <w:rPr>
                <w:rFonts w:hint="eastAsia"/>
              </w:rPr>
              <w:t>MatePad 10.4</w:t>
            </w:r>
            <w:r>
              <w:rPr>
                <w:rFonts w:hint="eastAsia"/>
              </w:rPr>
              <w:t>英寸麒麟</w:t>
            </w:r>
            <w:r>
              <w:rPr>
                <w:rFonts w:hint="eastAsia"/>
              </w:rPr>
              <w:t>820</w:t>
            </w:r>
            <w:r>
              <w:rPr>
                <w:rFonts w:hint="eastAsia"/>
              </w:rPr>
              <w:t>八核处理器安卓平板</w:t>
            </w:r>
            <w:r>
              <w:rPr>
                <w:rFonts w:hint="eastAsia"/>
              </w:rPr>
              <w:t>2020 6+128G/</w:t>
            </w:r>
            <w:r>
              <w:rPr>
                <w:rFonts w:hint="eastAsia"/>
              </w:rPr>
              <w:t>贝母白（带手写笔</w:t>
            </w:r>
            <w:r>
              <w:t>)</w:t>
            </w:r>
          </w:p>
        </w:tc>
        <w:tc>
          <w:tcPr>
            <w:tcW w:w="860" w:type="dxa"/>
            <w:tcBorders>
              <w:top w:val="single" w:sz="4" w:space="0" w:color="auto"/>
              <w:left w:val="single" w:sz="4" w:space="0" w:color="auto"/>
              <w:bottom w:val="single" w:sz="4" w:space="0" w:color="auto"/>
              <w:right w:val="single" w:sz="4" w:space="0" w:color="auto"/>
            </w:tcBorders>
          </w:tcPr>
          <w:p w14:paraId="614F6001" w14:textId="77777777" w:rsidR="0017115E" w:rsidRDefault="0017115E" w:rsidP="00EF0606">
            <w:r>
              <w:t>5</w:t>
            </w:r>
          </w:p>
        </w:tc>
        <w:tc>
          <w:tcPr>
            <w:tcW w:w="778" w:type="dxa"/>
            <w:tcBorders>
              <w:top w:val="single" w:sz="4" w:space="0" w:color="auto"/>
              <w:left w:val="single" w:sz="4" w:space="0" w:color="auto"/>
              <w:bottom w:val="single" w:sz="4" w:space="0" w:color="auto"/>
              <w:right w:val="single" w:sz="4" w:space="0" w:color="auto"/>
            </w:tcBorders>
          </w:tcPr>
          <w:p w14:paraId="6B309601" w14:textId="77777777" w:rsidR="0017115E" w:rsidRDefault="0017115E" w:rsidP="00EF0606"/>
        </w:tc>
      </w:tr>
      <w:tr w:rsidR="0017115E" w14:paraId="0205051D" w14:textId="41F785B2" w:rsidTr="0017115E">
        <w:tc>
          <w:tcPr>
            <w:tcW w:w="697" w:type="dxa"/>
            <w:tcBorders>
              <w:top w:val="single" w:sz="4" w:space="0" w:color="auto"/>
              <w:left w:val="single" w:sz="4" w:space="0" w:color="auto"/>
              <w:bottom w:val="single" w:sz="4" w:space="0" w:color="auto"/>
              <w:right w:val="single" w:sz="4" w:space="0" w:color="auto"/>
            </w:tcBorders>
          </w:tcPr>
          <w:p w14:paraId="407F5F99"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7FB4E8E7" w14:textId="7410B868" w:rsidR="0017115E" w:rsidRDefault="0017115E" w:rsidP="00EF0606">
            <w:r>
              <w:rPr>
                <w:rFonts w:hint="eastAsia"/>
              </w:rPr>
              <w:t>老年综合评估设备（笔记本电脑</w:t>
            </w:r>
            <w:r>
              <w:t>)</w:t>
            </w:r>
          </w:p>
        </w:tc>
        <w:tc>
          <w:tcPr>
            <w:tcW w:w="3875" w:type="dxa"/>
            <w:tcBorders>
              <w:top w:val="single" w:sz="4" w:space="0" w:color="auto"/>
              <w:left w:val="single" w:sz="4" w:space="0" w:color="auto"/>
              <w:bottom w:val="single" w:sz="4" w:space="0" w:color="auto"/>
              <w:right w:val="single" w:sz="4" w:space="0" w:color="auto"/>
            </w:tcBorders>
          </w:tcPr>
          <w:p w14:paraId="5A57D915" w14:textId="5172D9ED" w:rsidR="0017115E" w:rsidRDefault="0017115E" w:rsidP="00EF0606">
            <w:r>
              <w:rPr>
                <w:rFonts w:hint="eastAsia"/>
              </w:rPr>
              <w:t>MateBook X Pro 2020</w:t>
            </w:r>
            <w:r>
              <w:t>/2021</w:t>
            </w:r>
            <w:r>
              <w:rPr>
                <w:rFonts w:hint="eastAsia"/>
              </w:rPr>
              <w:t>款</w:t>
            </w:r>
            <w:r>
              <w:rPr>
                <w:rFonts w:hint="eastAsia"/>
              </w:rPr>
              <w:t xml:space="preserve"> 13.9</w:t>
            </w:r>
            <w:r>
              <w:rPr>
                <w:rFonts w:hint="eastAsia"/>
              </w:rPr>
              <w:t>英寸超轻薄全面屏笔记本电脑</w:t>
            </w:r>
            <w:r>
              <w:rPr>
                <w:rFonts w:hint="eastAsia"/>
              </w:rPr>
              <w:t>(</w:t>
            </w:r>
            <w:r>
              <w:rPr>
                <w:rFonts w:hint="eastAsia"/>
              </w:rPr>
              <w:t>十代酷睿</w:t>
            </w:r>
            <w:r>
              <w:rPr>
                <w:rFonts w:hint="eastAsia"/>
              </w:rPr>
              <w:t xml:space="preserve">i7 16G+512G </w:t>
            </w:r>
            <w:r>
              <w:rPr>
                <w:rFonts w:hint="eastAsia"/>
              </w:rPr>
              <w:t>独显</w:t>
            </w:r>
            <w:r>
              <w:rPr>
                <w:rFonts w:hint="eastAsia"/>
              </w:rPr>
              <w:t xml:space="preserve"> 3K</w:t>
            </w:r>
            <w:r>
              <w:rPr>
                <w:rFonts w:hint="eastAsia"/>
              </w:rPr>
              <w:t>触控</w:t>
            </w:r>
            <w:r>
              <w:rPr>
                <w:rFonts w:hint="eastAsia"/>
              </w:rPr>
              <w:t>)</w:t>
            </w:r>
            <w:r>
              <w:rPr>
                <w:rFonts w:hint="eastAsia"/>
              </w:rPr>
              <w:t>翠（</w:t>
            </w:r>
            <w:r>
              <w:rPr>
                <w:rFonts w:hint="eastAsia"/>
              </w:rPr>
              <w:t>jtt-2020.9.7</w:t>
            </w:r>
            <w:r>
              <w:rPr>
                <w:rFonts w:hint="eastAsia"/>
              </w:rPr>
              <w:t>）</w:t>
            </w:r>
          </w:p>
        </w:tc>
        <w:tc>
          <w:tcPr>
            <w:tcW w:w="860" w:type="dxa"/>
            <w:tcBorders>
              <w:top w:val="single" w:sz="4" w:space="0" w:color="auto"/>
              <w:left w:val="single" w:sz="4" w:space="0" w:color="auto"/>
              <w:bottom w:val="single" w:sz="4" w:space="0" w:color="auto"/>
              <w:right w:val="single" w:sz="4" w:space="0" w:color="auto"/>
            </w:tcBorders>
          </w:tcPr>
          <w:p w14:paraId="772FDB82" w14:textId="77777777" w:rsidR="0017115E" w:rsidRDefault="0017115E" w:rsidP="00EF0606">
            <w:r>
              <w:t>5</w:t>
            </w:r>
          </w:p>
        </w:tc>
        <w:tc>
          <w:tcPr>
            <w:tcW w:w="778" w:type="dxa"/>
            <w:tcBorders>
              <w:top w:val="single" w:sz="4" w:space="0" w:color="auto"/>
              <w:left w:val="single" w:sz="4" w:space="0" w:color="auto"/>
              <w:bottom w:val="single" w:sz="4" w:space="0" w:color="auto"/>
              <w:right w:val="single" w:sz="4" w:space="0" w:color="auto"/>
            </w:tcBorders>
          </w:tcPr>
          <w:p w14:paraId="4FD0D5B4" w14:textId="77777777" w:rsidR="0017115E" w:rsidRDefault="0017115E" w:rsidP="00EF0606"/>
        </w:tc>
      </w:tr>
      <w:tr w:rsidR="0017115E" w14:paraId="4F3AD19A" w14:textId="19A344A4" w:rsidTr="0017115E">
        <w:tc>
          <w:tcPr>
            <w:tcW w:w="697" w:type="dxa"/>
            <w:tcBorders>
              <w:top w:val="single" w:sz="4" w:space="0" w:color="auto"/>
              <w:left w:val="single" w:sz="4" w:space="0" w:color="auto"/>
              <w:bottom w:val="single" w:sz="4" w:space="0" w:color="auto"/>
              <w:right w:val="single" w:sz="4" w:space="0" w:color="auto"/>
            </w:tcBorders>
          </w:tcPr>
          <w:p w14:paraId="544C6898"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15A1D8D1" w14:textId="7183471F" w:rsidR="0017115E" w:rsidRDefault="0017115E" w:rsidP="00EF0606">
            <w:r>
              <w:rPr>
                <w:rFonts w:hint="eastAsia"/>
              </w:rPr>
              <w:t>评估报告设备（便携打印机</w:t>
            </w:r>
            <w:r>
              <w:t>)</w:t>
            </w:r>
          </w:p>
        </w:tc>
        <w:tc>
          <w:tcPr>
            <w:tcW w:w="3875" w:type="dxa"/>
            <w:tcBorders>
              <w:top w:val="single" w:sz="4" w:space="0" w:color="auto"/>
              <w:left w:val="single" w:sz="4" w:space="0" w:color="auto"/>
              <w:bottom w:val="single" w:sz="4" w:space="0" w:color="auto"/>
              <w:right w:val="single" w:sz="4" w:space="0" w:color="auto"/>
            </w:tcBorders>
          </w:tcPr>
          <w:p w14:paraId="7D079501" w14:textId="3E1F4D03" w:rsidR="0017115E" w:rsidRDefault="0017115E" w:rsidP="00EF0606">
            <w:r>
              <w:rPr>
                <w:rFonts w:hint="eastAsia"/>
              </w:rPr>
              <w:t>移动便携式打印机</w:t>
            </w:r>
          </w:p>
        </w:tc>
        <w:tc>
          <w:tcPr>
            <w:tcW w:w="860" w:type="dxa"/>
            <w:tcBorders>
              <w:top w:val="single" w:sz="4" w:space="0" w:color="auto"/>
              <w:left w:val="single" w:sz="4" w:space="0" w:color="auto"/>
              <w:bottom w:val="single" w:sz="4" w:space="0" w:color="auto"/>
              <w:right w:val="single" w:sz="4" w:space="0" w:color="auto"/>
            </w:tcBorders>
          </w:tcPr>
          <w:p w14:paraId="26EC385B" w14:textId="77777777" w:rsidR="0017115E" w:rsidRDefault="0017115E" w:rsidP="00EF0606">
            <w:r>
              <w:t>5</w:t>
            </w:r>
          </w:p>
        </w:tc>
        <w:tc>
          <w:tcPr>
            <w:tcW w:w="778" w:type="dxa"/>
            <w:tcBorders>
              <w:top w:val="single" w:sz="4" w:space="0" w:color="auto"/>
              <w:left w:val="single" w:sz="4" w:space="0" w:color="auto"/>
              <w:bottom w:val="single" w:sz="4" w:space="0" w:color="auto"/>
              <w:right w:val="single" w:sz="4" w:space="0" w:color="auto"/>
            </w:tcBorders>
          </w:tcPr>
          <w:p w14:paraId="278D10C9" w14:textId="77777777" w:rsidR="0017115E" w:rsidRDefault="0017115E" w:rsidP="00EF0606"/>
        </w:tc>
      </w:tr>
      <w:tr w:rsidR="0017115E" w14:paraId="771FA43B" w14:textId="69C9B440" w:rsidTr="0017115E">
        <w:tc>
          <w:tcPr>
            <w:tcW w:w="697" w:type="dxa"/>
            <w:tcBorders>
              <w:top w:val="single" w:sz="4" w:space="0" w:color="auto"/>
              <w:left w:val="single" w:sz="4" w:space="0" w:color="auto"/>
              <w:bottom w:val="single" w:sz="4" w:space="0" w:color="auto"/>
              <w:right w:val="single" w:sz="4" w:space="0" w:color="auto"/>
            </w:tcBorders>
          </w:tcPr>
          <w:p w14:paraId="75CE0687"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1E87D2EB" w14:textId="125584A2" w:rsidR="0017115E" w:rsidRDefault="0017115E" w:rsidP="00EF0606">
            <w:r>
              <w:rPr>
                <w:rFonts w:hint="eastAsia"/>
              </w:rPr>
              <w:t>远程会诊报告设备（打印机）</w:t>
            </w:r>
          </w:p>
        </w:tc>
        <w:tc>
          <w:tcPr>
            <w:tcW w:w="3875" w:type="dxa"/>
            <w:tcBorders>
              <w:top w:val="single" w:sz="4" w:space="0" w:color="auto"/>
              <w:left w:val="single" w:sz="4" w:space="0" w:color="auto"/>
              <w:bottom w:val="single" w:sz="4" w:space="0" w:color="auto"/>
              <w:right w:val="single" w:sz="4" w:space="0" w:color="auto"/>
            </w:tcBorders>
          </w:tcPr>
          <w:p w14:paraId="5BB35045" w14:textId="51DA45DA" w:rsidR="0017115E" w:rsidRDefault="0017115E" w:rsidP="00EF0606">
            <w:r>
              <w:rPr>
                <w:rFonts w:hint="eastAsia"/>
              </w:rPr>
              <w:t>专业级黑白激光打印机</w:t>
            </w:r>
            <w:r>
              <w:rPr>
                <w:rFonts w:hint="eastAsia"/>
              </w:rPr>
              <w:t xml:space="preserve"> </w:t>
            </w:r>
            <w:r>
              <w:rPr>
                <w:rFonts w:hint="eastAsia"/>
              </w:rPr>
              <w:t>自动双面打印</w:t>
            </w:r>
            <w:r>
              <w:rPr>
                <w:rFonts w:hint="eastAsia"/>
              </w:rPr>
              <w:t xml:space="preserve"> </w:t>
            </w:r>
            <w:r>
              <w:rPr>
                <w:rFonts w:hint="eastAsia"/>
              </w:rPr>
              <w:t>有线网络</w:t>
            </w:r>
          </w:p>
        </w:tc>
        <w:tc>
          <w:tcPr>
            <w:tcW w:w="860" w:type="dxa"/>
            <w:tcBorders>
              <w:top w:val="single" w:sz="4" w:space="0" w:color="auto"/>
              <w:left w:val="single" w:sz="4" w:space="0" w:color="auto"/>
              <w:bottom w:val="single" w:sz="4" w:space="0" w:color="auto"/>
              <w:right w:val="single" w:sz="4" w:space="0" w:color="auto"/>
            </w:tcBorders>
          </w:tcPr>
          <w:p w14:paraId="091B4B2D" w14:textId="77777777" w:rsidR="0017115E" w:rsidRDefault="0017115E" w:rsidP="00EF0606">
            <w:r>
              <w:t>5</w:t>
            </w:r>
          </w:p>
        </w:tc>
        <w:tc>
          <w:tcPr>
            <w:tcW w:w="778" w:type="dxa"/>
            <w:tcBorders>
              <w:top w:val="single" w:sz="4" w:space="0" w:color="auto"/>
              <w:left w:val="single" w:sz="4" w:space="0" w:color="auto"/>
              <w:bottom w:val="single" w:sz="4" w:space="0" w:color="auto"/>
              <w:right w:val="single" w:sz="4" w:space="0" w:color="auto"/>
            </w:tcBorders>
          </w:tcPr>
          <w:p w14:paraId="7A14F528" w14:textId="77777777" w:rsidR="0017115E" w:rsidRDefault="0017115E" w:rsidP="00EF0606"/>
        </w:tc>
      </w:tr>
      <w:tr w:rsidR="0017115E" w14:paraId="70380DE6" w14:textId="110DEDAE" w:rsidTr="0017115E">
        <w:tc>
          <w:tcPr>
            <w:tcW w:w="697" w:type="dxa"/>
            <w:tcBorders>
              <w:top w:val="single" w:sz="4" w:space="0" w:color="auto"/>
              <w:left w:val="single" w:sz="4" w:space="0" w:color="auto"/>
              <w:bottom w:val="single" w:sz="4" w:space="0" w:color="auto"/>
              <w:right w:val="single" w:sz="4" w:space="0" w:color="auto"/>
            </w:tcBorders>
          </w:tcPr>
          <w:p w14:paraId="74FC4B95"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13EC760E" w14:textId="7BDD5469" w:rsidR="0017115E" w:rsidRDefault="0017115E" w:rsidP="00EF0606">
            <w:r>
              <w:rPr>
                <w:rFonts w:hint="eastAsia"/>
              </w:rPr>
              <w:t>视频会议系统（摄像头</w:t>
            </w:r>
            <w:r>
              <w:t>)</w:t>
            </w:r>
          </w:p>
        </w:tc>
        <w:tc>
          <w:tcPr>
            <w:tcW w:w="3875" w:type="dxa"/>
            <w:tcBorders>
              <w:top w:val="single" w:sz="4" w:space="0" w:color="auto"/>
              <w:left w:val="single" w:sz="4" w:space="0" w:color="auto"/>
              <w:bottom w:val="single" w:sz="4" w:space="0" w:color="auto"/>
              <w:right w:val="single" w:sz="4" w:space="0" w:color="auto"/>
            </w:tcBorders>
          </w:tcPr>
          <w:p w14:paraId="7179AC0F" w14:textId="3DB6AD43" w:rsidR="0017115E" w:rsidRDefault="0017115E" w:rsidP="00EF0606">
            <w:r>
              <w:t>HIK VISION U102</w:t>
            </w:r>
          </w:p>
        </w:tc>
        <w:tc>
          <w:tcPr>
            <w:tcW w:w="860" w:type="dxa"/>
            <w:tcBorders>
              <w:top w:val="single" w:sz="4" w:space="0" w:color="auto"/>
              <w:left w:val="single" w:sz="4" w:space="0" w:color="auto"/>
              <w:bottom w:val="single" w:sz="4" w:space="0" w:color="auto"/>
              <w:right w:val="single" w:sz="4" w:space="0" w:color="auto"/>
            </w:tcBorders>
          </w:tcPr>
          <w:p w14:paraId="63CAA565" w14:textId="77777777" w:rsidR="0017115E" w:rsidRDefault="0017115E" w:rsidP="00EF0606">
            <w:r>
              <w:t>5</w:t>
            </w:r>
          </w:p>
        </w:tc>
        <w:tc>
          <w:tcPr>
            <w:tcW w:w="778" w:type="dxa"/>
            <w:tcBorders>
              <w:top w:val="single" w:sz="4" w:space="0" w:color="auto"/>
              <w:left w:val="single" w:sz="4" w:space="0" w:color="auto"/>
              <w:bottom w:val="single" w:sz="4" w:space="0" w:color="auto"/>
              <w:right w:val="single" w:sz="4" w:space="0" w:color="auto"/>
            </w:tcBorders>
          </w:tcPr>
          <w:p w14:paraId="5E63E049" w14:textId="77777777" w:rsidR="0017115E" w:rsidRDefault="0017115E" w:rsidP="00EF0606"/>
        </w:tc>
      </w:tr>
      <w:tr w:rsidR="0017115E" w14:paraId="7F8735EA" w14:textId="38A03393" w:rsidTr="0017115E">
        <w:trPr>
          <w:trHeight w:val="292"/>
        </w:trPr>
        <w:tc>
          <w:tcPr>
            <w:tcW w:w="697" w:type="dxa"/>
            <w:tcBorders>
              <w:top w:val="single" w:sz="4" w:space="0" w:color="auto"/>
              <w:left w:val="single" w:sz="4" w:space="0" w:color="auto"/>
              <w:bottom w:val="single" w:sz="4" w:space="0" w:color="auto"/>
              <w:right w:val="single" w:sz="4" w:space="0" w:color="auto"/>
            </w:tcBorders>
          </w:tcPr>
          <w:p w14:paraId="4810B34C"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317A1436" w14:textId="0DEC94AF" w:rsidR="0017115E" w:rsidRDefault="0017115E" w:rsidP="00EF0606">
            <w:r>
              <w:rPr>
                <w:rFonts w:hint="eastAsia"/>
              </w:rPr>
              <w:t>远程会诊终端（台式</w:t>
            </w:r>
            <w:r>
              <w:rPr>
                <w:rFonts w:hint="eastAsia"/>
              </w:rPr>
              <w:lastRenderedPageBreak/>
              <w:t>电脑）</w:t>
            </w:r>
          </w:p>
        </w:tc>
        <w:tc>
          <w:tcPr>
            <w:tcW w:w="3875" w:type="dxa"/>
            <w:tcBorders>
              <w:top w:val="single" w:sz="4" w:space="0" w:color="auto"/>
              <w:left w:val="single" w:sz="4" w:space="0" w:color="auto"/>
              <w:bottom w:val="single" w:sz="4" w:space="0" w:color="auto"/>
              <w:right w:val="single" w:sz="4" w:space="0" w:color="auto"/>
            </w:tcBorders>
          </w:tcPr>
          <w:p w14:paraId="33662593" w14:textId="43C950A2" w:rsidR="0017115E" w:rsidRDefault="0017115E" w:rsidP="00EF0606">
            <w:r>
              <w:rPr>
                <w:rFonts w:hint="eastAsia"/>
              </w:rPr>
              <w:lastRenderedPageBreak/>
              <w:t>台式机电脑酷睿十代</w:t>
            </w:r>
            <w:r>
              <w:rPr>
                <w:rFonts w:hint="eastAsia"/>
              </w:rPr>
              <w:t>CPU</w:t>
            </w:r>
            <w:r>
              <w:rPr>
                <w:rFonts w:hint="eastAsia"/>
              </w:rPr>
              <w:t>商用办公家用</w:t>
            </w:r>
            <w:r>
              <w:rPr>
                <w:rFonts w:hint="eastAsia"/>
              </w:rPr>
              <w:lastRenderedPageBreak/>
              <w:t>学习电脑整机</w:t>
            </w:r>
          </w:p>
        </w:tc>
        <w:tc>
          <w:tcPr>
            <w:tcW w:w="860" w:type="dxa"/>
            <w:tcBorders>
              <w:top w:val="single" w:sz="4" w:space="0" w:color="auto"/>
              <w:left w:val="single" w:sz="4" w:space="0" w:color="auto"/>
              <w:bottom w:val="single" w:sz="4" w:space="0" w:color="auto"/>
              <w:right w:val="single" w:sz="4" w:space="0" w:color="auto"/>
            </w:tcBorders>
          </w:tcPr>
          <w:p w14:paraId="70BC3697" w14:textId="77777777" w:rsidR="0017115E" w:rsidRDefault="0017115E" w:rsidP="00EF0606">
            <w:r>
              <w:lastRenderedPageBreak/>
              <w:t>5</w:t>
            </w:r>
          </w:p>
        </w:tc>
        <w:tc>
          <w:tcPr>
            <w:tcW w:w="778" w:type="dxa"/>
            <w:tcBorders>
              <w:top w:val="single" w:sz="4" w:space="0" w:color="auto"/>
              <w:left w:val="single" w:sz="4" w:space="0" w:color="auto"/>
              <w:bottom w:val="single" w:sz="4" w:space="0" w:color="auto"/>
              <w:right w:val="single" w:sz="4" w:space="0" w:color="auto"/>
            </w:tcBorders>
          </w:tcPr>
          <w:p w14:paraId="74E76D2F" w14:textId="77777777" w:rsidR="0017115E" w:rsidRDefault="0017115E" w:rsidP="00EF0606"/>
        </w:tc>
      </w:tr>
      <w:tr w:rsidR="0017115E" w14:paraId="4269F586" w14:textId="6D549BA8" w:rsidTr="0017115E">
        <w:trPr>
          <w:trHeight w:val="292"/>
        </w:trPr>
        <w:tc>
          <w:tcPr>
            <w:tcW w:w="697" w:type="dxa"/>
            <w:tcBorders>
              <w:top w:val="single" w:sz="4" w:space="0" w:color="auto"/>
              <w:left w:val="single" w:sz="4" w:space="0" w:color="auto"/>
              <w:bottom w:val="single" w:sz="4" w:space="0" w:color="auto"/>
              <w:right w:val="single" w:sz="4" w:space="0" w:color="auto"/>
            </w:tcBorders>
          </w:tcPr>
          <w:p w14:paraId="039991CE" w14:textId="77777777" w:rsidR="0017115E" w:rsidRDefault="0017115E" w:rsidP="00EF0606"/>
        </w:tc>
        <w:tc>
          <w:tcPr>
            <w:tcW w:w="2086" w:type="dxa"/>
            <w:tcBorders>
              <w:top w:val="single" w:sz="4" w:space="0" w:color="auto"/>
              <w:left w:val="single" w:sz="4" w:space="0" w:color="auto"/>
              <w:bottom w:val="single" w:sz="4" w:space="0" w:color="auto"/>
              <w:right w:val="single" w:sz="4" w:space="0" w:color="auto"/>
            </w:tcBorders>
          </w:tcPr>
          <w:p w14:paraId="012C43FA" w14:textId="43BB4D84" w:rsidR="0017115E" w:rsidRDefault="0017115E" w:rsidP="00EF0606">
            <w:r>
              <w:rPr>
                <w:rFonts w:hint="eastAsia"/>
              </w:rPr>
              <w:t>云存储器，宽带，交换机，等硬件设备</w:t>
            </w:r>
          </w:p>
        </w:tc>
        <w:tc>
          <w:tcPr>
            <w:tcW w:w="3875" w:type="dxa"/>
            <w:tcBorders>
              <w:top w:val="single" w:sz="4" w:space="0" w:color="auto"/>
              <w:left w:val="single" w:sz="4" w:space="0" w:color="auto"/>
              <w:bottom w:val="single" w:sz="4" w:space="0" w:color="auto"/>
              <w:right w:val="single" w:sz="4" w:space="0" w:color="auto"/>
            </w:tcBorders>
          </w:tcPr>
          <w:p w14:paraId="1A388BF0" w14:textId="77777777" w:rsidR="0017115E" w:rsidRDefault="0017115E" w:rsidP="00EF0606"/>
        </w:tc>
        <w:tc>
          <w:tcPr>
            <w:tcW w:w="860" w:type="dxa"/>
            <w:tcBorders>
              <w:top w:val="single" w:sz="4" w:space="0" w:color="auto"/>
              <w:left w:val="single" w:sz="4" w:space="0" w:color="auto"/>
              <w:bottom w:val="single" w:sz="4" w:space="0" w:color="auto"/>
              <w:right w:val="single" w:sz="4" w:space="0" w:color="auto"/>
            </w:tcBorders>
          </w:tcPr>
          <w:p w14:paraId="065D3FEC" w14:textId="77777777" w:rsidR="0017115E" w:rsidRDefault="0017115E" w:rsidP="00EF0606"/>
        </w:tc>
        <w:tc>
          <w:tcPr>
            <w:tcW w:w="778" w:type="dxa"/>
            <w:tcBorders>
              <w:top w:val="single" w:sz="4" w:space="0" w:color="auto"/>
              <w:left w:val="single" w:sz="4" w:space="0" w:color="auto"/>
              <w:bottom w:val="single" w:sz="4" w:space="0" w:color="auto"/>
              <w:right w:val="single" w:sz="4" w:space="0" w:color="auto"/>
            </w:tcBorders>
          </w:tcPr>
          <w:p w14:paraId="61E47856" w14:textId="77777777" w:rsidR="0017115E" w:rsidRDefault="0017115E" w:rsidP="00EF0606"/>
        </w:tc>
      </w:tr>
    </w:tbl>
    <w:p w14:paraId="52D5057B" w14:textId="55EB5CF3" w:rsidR="0017115E" w:rsidRDefault="0017115E" w:rsidP="0017115E">
      <w:pPr>
        <w:jc w:val="left"/>
        <w:rPr>
          <w:rFonts w:eastAsia="宋体"/>
          <w:sz w:val="24"/>
        </w:rPr>
      </w:pPr>
    </w:p>
    <w:p w14:paraId="4159AC85" w14:textId="283C46C8" w:rsidR="002C062A" w:rsidRDefault="002C062A" w:rsidP="0017115E">
      <w:pPr>
        <w:jc w:val="left"/>
        <w:rPr>
          <w:rFonts w:eastAsia="宋体"/>
          <w:sz w:val="24"/>
        </w:rPr>
      </w:pPr>
    </w:p>
    <w:sectPr w:rsidR="002C06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800E" w14:textId="77777777" w:rsidR="00815113" w:rsidRDefault="00815113" w:rsidP="00106EFF">
      <w:r>
        <w:separator/>
      </w:r>
    </w:p>
  </w:endnote>
  <w:endnote w:type="continuationSeparator" w:id="0">
    <w:p w14:paraId="4DEE773C" w14:textId="77777777" w:rsidR="00815113" w:rsidRDefault="00815113" w:rsidP="0010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DC10" w14:textId="77777777" w:rsidR="00815113" w:rsidRDefault="00815113" w:rsidP="00106EFF">
      <w:r>
        <w:separator/>
      </w:r>
    </w:p>
  </w:footnote>
  <w:footnote w:type="continuationSeparator" w:id="0">
    <w:p w14:paraId="4A4FEA5A" w14:textId="77777777" w:rsidR="00815113" w:rsidRDefault="00815113" w:rsidP="0010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CE7DB5"/>
    <w:multiLevelType w:val="singleLevel"/>
    <w:tmpl w:val="A6CE7DB5"/>
    <w:lvl w:ilvl="0">
      <w:start w:val="1"/>
      <w:numFmt w:val="decimal"/>
      <w:lvlText w:val="%1."/>
      <w:lvlJc w:val="left"/>
      <w:pPr>
        <w:tabs>
          <w:tab w:val="left" w:pos="312"/>
        </w:tabs>
      </w:pPr>
    </w:lvl>
  </w:abstractNum>
  <w:abstractNum w:abstractNumId="1" w15:restartNumberingAfterBreak="0">
    <w:nsid w:val="AC1A0F2A"/>
    <w:multiLevelType w:val="singleLevel"/>
    <w:tmpl w:val="AC1A0F2A"/>
    <w:lvl w:ilvl="0">
      <w:start w:val="2"/>
      <w:numFmt w:val="chineseCounting"/>
      <w:suff w:val="nothing"/>
      <w:lvlText w:val="%1、"/>
      <w:lvlJc w:val="left"/>
      <w:rPr>
        <w:rFonts w:hint="eastAsia"/>
      </w:rPr>
    </w:lvl>
  </w:abstractNum>
  <w:abstractNum w:abstractNumId="2" w15:restartNumberingAfterBreak="0">
    <w:nsid w:val="765E45D3"/>
    <w:multiLevelType w:val="singleLevel"/>
    <w:tmpl w:val="765E45D3"/>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4C"/>
    <w:rsid w:val="00092357"/>
    <w:rsid w:val="00106EFF"/>
    <w:rsid w:val="0017115E"/>
    <w:rsid w:val="001D1C13"/>
    <w:rsid w:val="00254F2A"/>
    <w:rsid w:val="002C062A"/>
    <w:rsid w:val="004C3B8E"/>
    <w:rsid w:val="00555E6C"/>
    <w:rsid w:val="006F2AC0"/>
    <w:rsid w:val="006F5026"/>
    <w:rsid w:val="0076626D"/>
    <w:rsid w:val="00787378"/>
    <w:rsid w:val="00795891"/>
    <w:rsid w:val="00815113"/>
    <w:rsid w:val="00816E0E"/>
    <w:rsid w:val="00911D83"/>
    <w:rsid w:val="009B7A4C"/>
    <w:rsid w:val="00A50D73"/>
    <w:rsid w:val="00AB606B"/>
    <w:rsid w:val="00B76C98"/>
    <w:rsid w:val="00C325A8"/>
    <w:rsid w:val="00EE285F"/>
    <w:rsid w:val="00F55027"/>
    <w:rsid w:val="08616DA8"/>
    <w:rsid w:val="13802D06"/>
    <w:rsid w:val="21B216DB"/>
    <w:rsid w:val="22F72254"/>
    <w:rsid w:val="381074FE"/>
    <w:rsid w:val="431C2E5F"/>
    <w:rsid w:val="4FFF0A3E"/>
    <w:rsid w:val="58262965"/>
    <w:rsid w:val="600B3DF9"/>
    <w:rsid w:val="6B60215C"/>
    <w:rsid w:val="7462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3417F"/>
  <w15:docId w15:val="{F8CA6177-123E-4D21-8AFD-130CB77B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k">
    <w:name w:val="xk正文"/>
    <w:basedOn w:val="a"/>
    <w:qFormat/>
    <w:pPr>
      <w:spacing w:line="360" w:lineRule="auto"/>
      <w:ind w:firstLineChars="200" w:firstLine="640"/>
    </w:pPr>
    <w:rPr>
      <w:rFonts w:ascii="Times New Roman" w:eastAsia="楷体" w:hAnsi="Times New Roman" w:cs="Times New Roman"/>
      <w:kern w:val="0"/>
      <w:sz w:val="24"/>
      <w:lang w:val="zh-CN"/>
    </w:rPr>
  </w:style>
  <w:style w:type="paragraph" w:customStyle="1" w:styleId="1">
    <w:name w:val="正文1"/>
    <w:basedOn w:val="a"/>
    <w:qFormat/>
    <w:pPr>
      <w:spacing w:line="288" w:lineRule="auto"/>
      <w:ind w:firstLineChars="200" w:firstLine="480"/>
      <w:contextualSpacing/>
      <w:jc w:val="left"/>
    </w:pPr>
    <w:rPr>
      <w:rFonts w:ascii="宋体" w:hAnsi="宋体" w:cs="宋体"/>
      <w:color w:val="000000"/>
    </w:rPr>
  </w:style>
  <w:style w:type="paragraph" w:styleId="a3">
    <w:name w:val="header"/>
    <w:basedOn w:val="a"/>
    <w:link w:val="a4"/>
    <w:rsid w:val="00106E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6EFF"/>
    <w:rPr>
      <w:rFonts w:asciiTheme="minorHAnsi" w:eastAsiaTheme="minorEastAsia" w:hAnsiTheme="minorHAnsi" w:cstheme="minorBidi"/>
      <w:kern w:val="2"/>
      <w:sz w:val="18"/>
      <w:szCs w:val="18"/>
    </w:rPr>
  </w:style>
  <w:style w:type="paragraph" w:styleId="a5">
    <w:name w:val="footer"/>
    <w:basedOn w:val="a"/>
    <w:link w:val="a6"/>
    <w:rsid w:val="00106EFF"/>
    <w:pPr>
      <w:tabs>
        <w:tab w:val="center" w:pos="4153"/>
        <w:tab w:val="right" w:pos="8306"/>
      </w:tabs>
      <w:snapToGrid w:val="0"/>
      <w:jc w:val="left"/>
    </w:pPr>
    <w:rPr>
      <w:sz w:val="18"/>
      <w:szCs w:val="18"/>
    </w:rPr>
  </w:style>
  <w:style w:type="character" w:customStyle="1" w:styleId="a6">
    <w:name w:val="页脚 字符"/>
    <w:basedOn w:val="a0"/>
    <w:link w:val="a5"/>
    <w:rsid w:val="00106EFF"/>
    <w:rPr>
      <w:rFonts w:asciiTheme="minorHAnsi" w:eastAsiaTheme="minorEastAsia" w:hAnsiTheme="minorHAnsi" w:cstheme="minorBidi"/>
      <w:kern w:val="2"/>
      <w:sz w:val="18"/>
      <w:szCs w:val="18"/>
    </w:rPr>
  </w:style>
  <w:style w:type="table" w:styleId="a7">
    <w:name w:val="Table Grid"/>
    <w:basedOn w:val="a1"/>
    <w:uiPriority w:val="59"/>
    <w:rsid w:val="0017115E"/>
    <w:pPr>
      <w:widowControl w:val="0"/>
      <w:jc w:val="both"/>
    </w:pPr>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khyy-lj</cp:lastModifiedBy>
  <cp:revision>9</cp:revision>
  <dcterms:created xsi:type="dcterms:W3CDTF">2021-07-02T00:57:00Z</dcterms:created>
  <dcterms:modified xsi:type="dcterms:W3CDTF">2021-07-02T07:12:00Z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056B8AD1A69040C781633586B1EC797A</vt:lpwstr>
  </property>
</Properties>
</file>