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after="62"/>
        <w:ind w:firstLine="482"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云南</w:t>
      </w:r>
      <w:r>
        <w:rPr>
          <w:rFonts w:ascii="黑体" w:hAnsi="黑体" w:eastAsia="黑体"/>
          <w:b/>
          <w:bCs/>
          <w:sz w:val="24"/>
          <w:szCs w:val="24"/>
        </w:rPr>
        <w:t>省医院质量管理与绩效评价平台使用项目</w:t>
      </w:r>
      <w:r>
        <w:rPr>
          <w:rFonts w:ascii="宋体" w:hAnsi="宋体"/>
          <w:sz w:val="24"/>
          <w:szCs w:val="24"/>
        </w:rPr>
        <w:t>为医院提供下列功能</w:t>
      </w:r>
      <w:r>
        <w:rPr>
          <w:rFonts w:ascii="宋体" w:hAnsi="宋体"/>
          <w:color w:val="000000"/>
          <w:sz w:val="24"/>
          <w:szCs w:val="24"/>
        </w:rPr>
        <w:t>：</w:t>
      </w:r>
    </w:p>
    <w:tbl>
      <w:tblPr>
        <w:tblStyle w:val="4"/>
        <w:tblW w:w="0" w:type="auto"/>
        <w:tblInd w:w="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127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项目说明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上传文件详细结果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查看最近一次上传文件的数据量。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上传文件审核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查看数据上传后的审核结果，用户根据结果修正数据，重新上传。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上报数据质量一览表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查看数据上报质量及入组率等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上传数据查询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分月查看数据上传的数量以及是否已经过DRG分组，单病种分组等。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绩效平台简报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由卫健委定期发布，全省医院的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绩效简报，具体包含</w:t>
            </w: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医院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绩效排名，按照医院性质分别排名。</w:t>
            </w: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全省病例权重大于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的分段排名。</w:t>
            </w: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全省三四级手术排名。</w:t>
            </w: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全省单病种排名。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数据审核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审核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相关数据规范，包括：无效主诊断、性别不符、新生儿不符、不规范诊断和非标准编码。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全院CMI概况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查看全院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CMI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值、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总量、时间指数、费用指数、低风险死亡率、组数、平均费用、平均住院天数等指标。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权重大于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的病例例数及比例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查看全院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RW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值大于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2(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即难度较大的病种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的病例例数及比例。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权重大于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的病例分段统计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分三段查看全院不同难度病种的例数</w:t>
            </w: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RW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＜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RW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＜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、≥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三四级手术例数及占比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查看全院手术例数、三级、四级以及三四级手术比例。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分组明细查询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查看全院每个病例的分组明细数据，包含病人信息，主要疾病，手术以及所入的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组和组的权重。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单病种分组明细查询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查看全院每个病例的所属的单病种名称。不属于单病种的则不列出。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科室CMI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按照科室统计并查看每个科室的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CMI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总量、病例数、平均费用、平均药费、耗材费、住院天数等指标。包含图表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医师CMI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按照医生级别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科主任、主任、住院、主治医师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统计并查看每个医生的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CMI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总量、病例数、平均费用、平均药费、耗材费、住院天数等指标。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科室手术报表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按照科室统计并查看每个科室的手术例数、其中一二三四级手术各占多少，以及三四级手术的比例。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医生手术报表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按照医生统计并查看每个医生的主刀或者作为助手参与的手术例数、其中一二三四级手术各占多少，以及三四级手术的比例。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全院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CMI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变化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以图表的形式查看该时间段内全院出院人数以及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CMI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值的变化曲线图。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全院病种结构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分病种统计并查看全院各个病种的分布情况，包含人数、占比、平均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RW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、平均住院日、平均总费用等指标。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科室病种结构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分科室统计并查看各科室的病种分布情况，包含人数、占比、平均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RW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、平均住院日、平均总费用等指标。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医院手术明细查询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分科室统计并查看各科室的手术明细数据，包含手术名称、级别、主刀、一助二助、病人基本信息等。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低风险死亡查询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widowControl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查看低风险组死亡病例，显示病人信息、出院科室、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DRGs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组、死亡风险等指标</w:t>
            </w:r>
          </w:p>
        </w:tc>
      </w:tr>
    </w:tbl>
    <w:p>
      <w:pPr>
        <w:rPr>
          <w:rFonts w:ascii="微软雅黑" w:hAnsi="微软雅黑" w:eastAsia="微软雅黑"/>
          <w:szCs w:val="21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szCs w:val="21"/>
      </w:rPr>
    </w:pPr>
    <w:r>
      <w:rPr>
        <w:rFonts w:ascii="宋体" w:hAnsi="宋体"/>
        <w:szCs w:val="21"/>
      </w:rPr>
      <w:t>第</w:t>
    </w:r>
    <w:r>
      <w:fldChar w:fldCharType="begin"/>
    </w:r>
    <w:r>
      <w:rPr>
        <w:rFonts w:ascii="Times New Roman" w:hAnsi="Times New Roman" w:eastAsia="Times New Roman"/>
        <w:szCs w:val="21"/>
      </w:rPr>
      <w:instrText xml:space="preserve">PAGE</w:instrText>
    </w:r>
    <w:r>
      <w:fldChar w:fldCharType="separate"/>
    </w:r>
    <w:r>
      <w:rPr>
        <w:rFonts w:ascii="Times New Roman" w:hAnsi="Times New Roman" w:eastAsia="Times New Roman"/>
        <w:szCs w:val="21"/>
      </w:rPr>
      <w:t>6</w:t>
    </w:r>
    <w:r>
      <w:fldChar w:fldCharType="end"/>
    </w:r>
    <w:r>
      <w:rPr>
        <w:rFonts w:ascii="宋体" w:hAnsi="宋体"/>
        <w:szCs w:val="21"/>
      </w:rPr>
      <w:t>页，共</w:t>
    </w:r>
    <w:r>
      <w:rPr>
        <w:rFonts w:hint="eastAsia" w:ascii="宋体" w:hAnsi="宋体"/>
        <w:szCs w:val="21"/>
      </w:rPr>
      <w:t>6</w:t>
    </w:r>
    <w:r>
      <w:rPr>
        <w:rFonts w:ascii="宋体" w:hAnsi="宋体"/>
        <w:szCs w:val="21"/>
      </w:rPr>
      <w:t>页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仿宋" w:hAnsi="仿宋" w:eastAsia="仿宋"/>
        <w:szCs w:val="21"/>
      </w:rPr>
    </w:pPr>
    <w:r>
      <w:rPr>
        <w:rFonts w:ascii="仿宋" w:hAnsi="仿宋" w:eastAsia="仿宋"/>
        <w:szCs w:val="21"/>
      </w:rPr>
      <w:t>上海联众网络信息股份有限公司</w:t>
    </w:r>
  </w:p>
  <w:p>
    <w:pPr>
      <w:pStyle w:val="2"/>
    </w:pPr>
  </w:p>
  <w:p>
    <w:pPr>
      <w:jc w:val="right"/>
      <w:rPr>
        <w:rFonts w:ascii="宋体" w:hAnsi="宋体"/>
        <w:szCs w:val="21"/>
      </w:rPr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270C3"/>
    <w:multiLevelType w:val="singleLevel"/>
    <w:tmpl w:val="B9C270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E29FC"/>
    <w:rsid w:val="2ACA0E54"/>
    <w:rsid w:val="76C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3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2021-05-25T04:08:00Z</dcterms:created>
  <dc:creator>つ歲仴茹哥欠</dc:creator>
  <cp:lastModifiedBy>つ歲仴茹哥欠</cp:lastModifiedBy>
  <dcterms:modified xsi:type="dcterms:W3CDTF">2021-05-25T04:09:19Z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44FBEA0E21B34CD4A411BD1B922D4FFA</vt:lpwstr>
  </property>
</Properties>
</file>